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126"/>
        <w:gridCol w:w="142"/>
        <w:gridCol w:w="2835"/>
      </w:tblGrid>
      <w:tr w:rsidTr="008E66FA">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2835" w:type="dxa"/>
          <w:cantSplit/>
          <w:trHeight w:val="569"/>
        </w:trPr>
        <w:tc>
          <w:tcPr>
            <w:tcW w:w="4786" w:type="dxa"/>
            <w:shd w:val="clear" w:color="auto" w:fill="BFBFBF"/>
            <w:vAlign w:val="center"/>
          </w:tcPr>
          <w:p w:rsidR="00D4431F" w:rsidRPr="00D4431F" w:rsidP="006149F1">
            <w:pPr>
              <w:spacing w:line="240" w:lineRule="auto"/>
              <w:jc w:val="center"/>
              <w:rPr>
                <w:rFonts w:cstheme="minorHAnsi"/>
                <w:b/>
                <w:bCs/>
              </w:rPr>
            </w:pPr>
            <w:r>
              <w:rPr>
                <w:rFonts w:cstheme="minorHAnsi"/>
                <w:b/>
                <w:bCs/>
              </w:rPr>
              <w:t>Report to</w:t>
            </w:r>
          </w:p>
        </w:tc>
        <w:tc>
          <w:tcPr>
            <w:tcW w:w="2268" w:type="dxa"/>
            <w:gridSpan w:val="2"/>
            <w:shd w:val="clear" w:color="auto" w:fill="BFBFBF"/>
            <w:vAlign w:val="center"/>
          </w:tcPr>
          <w:p w:rsidR="00D4431F" w:rsidRPr="00D4431F" w:rsidP="006149F1">
            <w:pPr>
              <w:spacing w:line="240" w:lineRule="auto"/>
              <w:jc w:val="center"/>
              <w:rPr>
                <w:rFonts w:cstheme="minorHAnsi"/>
                <w:b/>
                <w:bCs/>
              </w:rPr>
            </w:pPr>
            <w:r w:rsidRPr="00D4431F">
              <w:rPr>
                <w:rFonts w:cstheme="minorHAnsi"/>
                <w:b/>
                <w:bCs/>
              </w:rPr>
              <w:t>O</w:t>
            </w:r>
            <w:r>
              <w:rPr>
                <w:rFonts w:cstheme="minorHAnsi"/>
                <w:b/>
                <w:bCs/>
              </w:rPr>
              <w:t>n</w:t>
            </w:r>
          </w:p>
        </w:tc>
      </w:tr>
      <w:tr w:rsidTr="008E66FA">
        <w:tblPrEx>
          <w:tblW w:w="9889" w:type="dxa"/>
          <w:tblLayout w:type="fixed"/>
          <w:tblLook w:val="0000"/>
        </w:tblPrEx>
        <w:trPr>
          <w:gridAfter w:val="1"/>
          <w:wAfter w:w="2835" w:type="dxa"/>
          <w:cantSplit/>
          <w:trHeight w:val="654"/>
        </w:trPr>
        <w:tc>
          <w:tcPr>
            <w:tcW w:w="4786" w:type="dxa"/>
            <w:tcBorders>
              <w:bottom w:val="nil"/>
            </w:tcBorders>
            <w:vAlign w:val="center"/>
          </w:tcPr>
          <w:p w:rsidR="00D4431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gridSpan w:val="2"/>
            <w:tcBorders>
              <w:bottom w:val="nil"/>
            </w:tcBorders>
            <w:vAlign w:val="center"/>
          </w:tcPr>
          <w:p w:rsidR="00D4431F" w:rsidRPr="00D4431F"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23 March 2021</w:t>
            </w:r>
            <w:r>
              <w:rPr>
                <w:rFonts w:cstheme="minorHAnsi"/>
                <w:b/>
                <w:bCs/>
              </w:rPr>
              <w:fldChar w:fldCharType="end"/>
            </w:r>
          </w:p>
        </w:tc>
      </w:tr>
      <w:tr w:rsidTr="008E66FA">
        <w:tblPrEx>
          <w:tblW w:w="9889" w:type="dxa"/>
          <w:tblLayout w:type="fixed"/>
          <w:tblLook w:val="0000"/>
        </w:tblPrEx>
        <w:trPr>
          <w:gridAfter w:val="1"/>
          <w:wAfter w:w="2835" w:type="dxa"/>
          <w:cantSplit/>
          <w:trHeight w:val="560"/>
        </w:trPr>
        <w:tc>
          <w:tcPr>
            <w:tcW w:w="7054" w:type="dxa"/>
            <w:gridSpan w:val="3"/>
            <w:tcBorders>
              <w:left w:val="nil"/>
              <w:right w:val="nil"/>
            </w:tcBorders>
          </w:tcPr>
          <w:p w:rsidR="00D4431F" w:rsidRPr="00D4431F" w:rsidP="00D4431F">
            <w:pPr>
              <w:spacing w:line="240" w:lineRule="auto"/>
              <w:jc w:val="both"/>
              <w:rPr>
                <w:rFonts w:cstheme="minorHAnsi"/>
                <w:b/>
                <w:bCs/>
              </w:rPr>
            </w:pPr>
          </w:p>
        </w:tc>
      </w:tr>
      <w:tr w:rsidTr="001B5749">
        <w:tblPrEx>
          <w:tblW w:w="9889" w:type="dxa"/>
          <w:tblLayout w:type="fixed"/>
          <w:tblLook w:val="0000"/>
        </w:tblPrEx>
        <w:trPr>
          <w:cantSplit/>
        </w:trPr>
        <w:tc>
          <w:tcPr>
            <w:tcW w:w="6912" w:type="dxa"/>
            <w:gridSpan w:val="2"/>
            <w:shd w:val="clear" w:color="auto" w:fill="BFBFBF"/>
            <w:vAlign w:val="center"/>
          </w:tcPr>
          <w:p w:rsidR="00D4431F" w:rsidRPr="00D4431F" w:rsidP="00D4431F">
            <w:pPr>
              <w:spacing w:line="240" w:lineRule="auto"/>
              <w:jc w:val="both"/>
              <w:rPr>
                <w:rFonts w:cstheme="minorHAnsi"/>
                <w:b/>
                <w:bCs/>
              </w:rPr>
            </w:pPr>
            <w:r w:rsidRPr="00D4431F">
              <w:rPr>
                <w:rFonts w:cstheme="minorHAnsi"/>
                <w:b/>
                <w:bCs/>
              </w:rPr>
              <w:t>T</w:t>
            </w:r>
            <w:r>
              <w:rPr>
                <w:rFonts w:cstheme="minorHAnsi"/>
                <w:b/>
                <w:bCs/>
              </w:rPr>
              <w:t>itle</w:t>
            </w:r>
          </w:p>
        </w:tc>
        <w:tc>
          <w:tcPr>
            <w:tcW w:w="2977" w:type="dxa"/>
            <w:gridSpan w:val="2"/>
            <w:shd w:val="clear" w:color="auto" w:fill="BFBFBF"/>
            <w:vAlign w:val="center"/>
          </w:tcPr>
          <w:p w:rsidR="00D4431F" w:rsidRPr="00D4431F" w:rsidP="001B5749">
            <w:pPr>
              <w:spacing w:line="240" w:lineRule="auto"/>
              <w:jc w:val="center"/>
              <w:rPr>
                <w:rFonts w:cstheme="minorHAnsi"/>
                <w:b/>
                <w:bCs/>
              </w:rPr>
            </w:pPr>
            <w:r>
              <w:rPr>
                <w:rFonts w:cstheme="minorHAnsi"/>
                <w:b/>
                <w:bCs/>
              </w:rPr>
              <w:t>Report of</w:t>
            </w:r>
          </w:p>
        </w:tc>
      </w:tr>
      <w:tr w:rsidTr="001B5749">
        <w:tblPrEx>
          <w:tblW w:w="9889" w:type="dxa"/>
          <w:tblLayout w:type="fixed"/>
          <w:tblLook w:val="0000"/>
        </w:tblPrEx>
        <w:trPr>
          <w:cantSplit/>
          <w:trHeight w:val="667"/>
        </w:trPr>
        <w:tc>
          <w:tcPr>
            <w:tcW w:w="6912" w:type="dxa"/>
            <w:gridSpan w:val="2"/>
            <w:vAlign w:val="center"/>
          </w:tcPr>
          <w:p w:rsidR="00D4431F" w:rsidRPr="00CA04F3" w:rsidP="00CA04F3">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Internal Audit Plan 2021 - 2022</w:t>
            </w:r>
            <w:r>
              <w:rPr>
                <w:rFonts w:asciiTheme="majorHAnsi" w:hAnsiTheme="majorHAnsi" w:cstheme="majorHAnsi"/>
                <w:sz w:val="22"/>
              </w:rPr>
              <w:fldChar w:fldCharType="end"/>
            </w:r>
          </w:p>
        </w:tc>
        <w:tc>
          <w:tcPr>
            <w:tcW w:w="2977" w:type="dxa"/>
            <w:gridSpan w:val="2"/>
            <w:vAlign w:val="center"/>
          </w:tcPr>
          <w:p w:rsidR="00D4431F" w:rsidRPr="00D4431F"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Governance and Monitoring Officer</w:t>
            </w:r>
            <w:r w:rsidRPr="00D4431F">
              <w:rPr>
                <w:rFonts w:cstheme="minorHAnsi"/>
                <w:b/>
                <w:bCs/>
                <w:lang w:val="en-US"/>
              </w:rPr>
              <w:fldChar w:fldCharType="end"/>
            </w:r>
          </w:p>
        </w:tc>
      </w:tr>
    </w:tbl>
    <w:p w:rsidR="00D4431F" w:rsidRPr="00D4431F"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8E66F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652" w:type="dxa"/>
            <w:shd w:val="clear" w:color="auto" w:fill="auto"/>
          </w:tcPr>
          <w:p w:rsidR="00D4431F" w:rsidRPr="00D4431F"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rsidR="00D4431F" w:rsidRPr="00D4431F" w:rsidP="005C459D">
            <w:pPr>
              <w:spacing w:after="0" w:line="240" w:lineRule="auto"/>
              <w:jc w:val="both"/>
              <w:rPr>
                <w:rFonts w:cstheme="minorHAnsi"/>
                <w:bCs/>
              </w:rPr>
            </w:pPr>
            <w:r w:rsidRPr="00D4431F">
              <w:rPr>
                <w:rFonts w:cstheme="minorHAnsi"/>
                <w:bCs/>
              </w:rPr>
              <w:t xml:space="preserve">No </w:t>
            </w:r>
          </w:p>
          <w:p w:rsidR="00D4431F" w:rsidRPr="00D4431F" w:rsidP="005C459D">
            <w:pPr>
              <w:spacing w:after="0" w:line="240" w:lineRule="auto"/>
              <w:jc w:val="both"/>
              <w:rPr>
                <w:rFonts w:cstheme="minorHAnsi"/>
                <w:bCs/>
                <w:i/>
              </w:rPr>
            </w:pPr>
          </w:p>
        </w:tc>
      </w:tr>
    </w:tbl>
    <w:p w:rsidR="00D4431F" w:rsidRPr="00D4431F" w:rsidP="00D4431F">
      <w:pPr>
        <w:spacing w:line="240" w:lineRule="auto"/>
        <w:jc w:val="both"/>
        <w:rPr>
          <w:rFonts w:cstheme="minorHAnsi"/>
          <w:b/>
          <w:bCs/>
        </w:rPr>
      </w:pPr>
    </w:p>
    <w:p w:rsidR="00D4431F" w:rsidRPr="00CA04F3"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rsidR="000A081E" w:rsidP="000A081E">
      <w:pPr>
        <w:pStyle w:val="ListParagraph"/>
        <w:numPr>
          <w:ilvl w:val="0"/>
          <w:numId w:val="11"/>
        </w:numPr>
        <w:pBdr>
          <w:top w:val="single" w:sz="2" w:space="1" w:color="FFFFFF"/>
          <w:left w:val="single" w:sz="2" w:space="0" w:color="FFFFFF"/>
          <w:bottom w:val="single" w:sz="2" w:space="2" w:color="FFFFFF"/>
          <w:right w:val="single" w:sz="2" w:space="4" w:color="FFFFFF"/>
        </w:pBdr>
        <w:ind w:right="141"/>
        <w:jc w:val="both"/>
      </w:pPr>
      <w:r>
        <w:tab/>
      </w:r>
      <w:r>
        <w:t>This report explains the content of the Internal Audit work programme for the 2021-</w:t>
      </w:r>
      <w:r>
        <w:tab/>
      </w:r>
      <w:r>
        <w:t xml:space="preserve">2022 financial year which has been determined following a detailed risk assessment </w:t>
      </w:r>
      <w:r>
        <w:tab/>
      </w:r>
      <w:r>
        <w:t xml:space="preserve">and consultation exercise. The Internal Audit Plan is the vehicle by which audit </w:t>
      </w:r>
      <w:r>
        <w:tab/>
      </w:r>
      <w:r>
        <w:t xml:space="preserve">workload is identified and prioritised.    </w:t>
      </w:r>
    </w:p>
    <w:p w:rsidR="000A081E" w:rsidP="000A081E">
      <w:pPr>
        <w:pBdr>
          <w:top w:val="single" w:sz="2" w:space="0" w:color="FFFFFF"/>
          <w:left w:val="single" w:sz="2" w:space="0" w:color="FFFFFF"/>
          <w:bottom w:val="single" w:sz="2" w:space="2" w:color="FFFFFF"/>
          <w:right w:val="single" w:sz="2" w:space="4" w:color="FFFFFF"/>
        </w:pBdr>
        <w:jc w:val="both"/>
      </w:pPr>
      <w:r>
        <w:tab/>
      </w:r>
      <w:r>
        <w:t>The main purposes of the report are to:</w:t>
      </w:r>
    </w:p>
    <w:p w:rsidR="000A081E" w:rsidP="000A081E">
      <w:pPr>
        <w:numPr>
          <w:ilvl w:val="0"/>
          <w:numId w:val="9"/>
        </w:numPr>
        <w:pBdr>
          <w:top w:val="single" w:sz="2" w:space="0" w:color="FFFFFF"/>
          <w:left w:val="single" w:sz="2" w:space="0" w:color="FFFFFF"/>
          <w:bottom w:val="single" w:sz="2" w:space="2" w:color="FFFFFF"/>
          <w:right w:val="single" w:sz="2" w:space="4" w:color="FFFFFF"/>
        </w:pBdr>
        <w:spacing w:after="0" w:line="240" w:lineRule="auto"/>
        <w:jc w:val="both"/>
      </w:pPr>
      <w:r>
        <w:t>Remind members of the respective roles of managers and Internal Audit to maintain a sound system of governance and internal control within the Council;</w:t>
      </w:r>
    </w:p>
    <w:p w:rsidR="000A081E" w:rsidRPr="00A42F8D" w:rsidP="000A081E">
      <w:pPr>
        <w:numPr>
          <w:ilvl w:val="0"/>
          <w:numId w:val="10"/>
        </w:numPr>
        <w:pBdr>
          <w:top w:val="single" w:sz="2" w:space="0" w:color="FFFFFF"/>
          <w:left w:val="single" w:sz="2" w:space="0" w:color="FFFFFF"/>
          <w:bottom w:val="single" w:sz="2" w:space="2" w:color="FFFFFF"/>
          <w:right w:val="single" w:sz="2" w:space="4" w:color="FFFFFF"/>
        </w:pBdr>
        <w:spacing w:after="0" w:line="240" w:lineRule="auto"/>
        <w:jc w:val="both"/>
      </w:pPr>
      <w:r>
        <w:t>Provide details of the I</w:t>
      </w:r>
      <w:r>
        <w:t>nternal Audit Plan for 2021-2022</w:t>
      </w:r>
      <w:r>
        <w:t xml:space="preserve"> and associated performance indicators</w:t>
      </w:r>
      <w:r>
        <w:t>;</w:t>
      </w:r>
    </w:p>
    <w:p w:rsidR="000A081E" w:rsidP="000A081E">
      <w:pPr>
        <w:numPr>
          <w:ilvl w:val="0"/>
          <w:numId w:val="9"/>
        </w:numPr>
        <w:pBdr>
          <w:top w:val="single" w:sz="2" w:space="0" w:color="FFFFFF"/>
          <w:left w:val="single" w:sz="2" w:space="0" w:color="FFFFFF"/>
          <w:bottom w:val="single" w:sz="2" w:space="2" w:color="FFFFFF"/>
          <w:right w:val="single" w:sz="2" w:space="4" w:color="FFFFFF"/>
        </w:pBdr>
        <w:spacing w:after="0" w:line="240" w:lineRule="auto"/>
        <w:jc w:val="both"/>
      </w:pPr>
      <w:r>
        <w:t>Seek the Committee’s approval of the Audit Plan</w:t>
      </w:r>
      <w:r w:rsidR="007839F8">
        <w:t>;</w:t>
      </w:r>
    </w:p>
    <w:p w:rsidR="007839F8" w:rsidP="000A081E">
      <w:pPr>
        <w:numPr>
          <w:ilvl w:val="0"/>
          <w:numId w:val="9"/>
        </w:numPr>
        <w:pBdr>
          <w:top w:val="single" w:sz="2" w:space="0" w:color="FFFFFF"/>
          <w:left w:val="single" w:sz="2" w:space="0" w:color="FFFFFF"/>
          <w:bottom w:val="single" w:sz="2" w:space="2" w:color="FFFFFF"/>
          <w:right w:val="single" w:sz="2" w:space="4" w:color="FFFFFF"/>
        </w:pBdr>
        <w:spacing w:after="0" w:line="240" w:lineRule="auto"/>
        <w:jc w:val="both"/>
      </w:pPr>
      <w:r>
        <w:t>Seek the Committee’s approval of the Internal Audit Charter;</w:t>
      </w:r>
    </w:p>
    <w:p w:rsidR="007411A1" w:rsidP="000A081E">
      <w:pPr>
        <w:numPr>
          <w:ilvl w:val="0"/>
          <w:numId w:val="9"/>
        </w:numPr>
        <w:pBdr>
          <w:top w:val="single" w:sz="2" w:space="0" w:color="FFFFFF"/>
          <w:left w:val="single" w:sz="2" w:space="0" w:color="FFFFFF"/>
          <w:bottom w:val="single" w:sz="2" w:space="2" w:color="FFFFFF"/>
          <w:right w:val="single" w:sz="2" w:space="4" w:color="FFFFFF"/>
        </w:pBdr>
        <w:spacing w:after="0" w:line="240" w:lineRule="auto"/>
        <w:jc w:val="both"/>
      </w:pPr>
      <w:r>
        <w:t>Highlight to the Committee the reporting arrangements for 2021</w:t>
      </w:r>
      <w:r w:rsidR="00330F39">
        <w:t>-</w:t>
      </w:r>
      <w:r>
        <w:t>22</w:t>
      </w:r>
      <w:r w:rsidR="007839F8">
        <w:t>.</w:t>
      </w:r>
    </w:p>
    <w:p w:rsidR="0099510F" w:rsidP="0099510F">
      <w:pPr>
        <w:spacing w:line="240" w:lineRule="auto"/>
        <w:rPr>
          <w:rFonts w:cs="Arial"/>
        </w:rPr>
      </w:pPr>
    </w:p>
    <w:p w:rsidR="000A081E" w:rsidP="0099510F">
      <w:pPr>
        <w:spacing w:line="240" w:lineRule="auto"/>
        <w:rPr>
          <w:rFonts w:cs="Arial"/>
          <w:color w:val="FF0000"/>
        </w:rPr>
      </w:pPr>
      <w:r>
        <w:rPr>
          <w:rFonts w:cs="Arial"/>
        </w:rPr>
        <w:tab/>
      </w:r>
      <w:r w:rsidRPr="00942D5E">
        <w:rPr>
          <w:rFonts w:cs="Arial"/>
        </w:rPr>
        <w:t xml:space="preserve">The report also contains </w:t>
      </w:r>
      <w:r>
        <w:rPr>
          <w:rFonts w:cs="Arial"/>
        </w:rPr>
        <w:t xml:space="preserve">details </w:t>
      </w:r>
      <w:r>
        <w:rPr>
          <w:rFonts w:cs="Arial"/>
        </w:rPr>
        <w:t xml:space="preserve">regarding the Internal Audit Annual Opinion for 2020 </w:t>
      </w:r>
      <w:r>
        <w:rPr>
          <w:rFonts w:cs="Arial"/>
        </w:rPr>
        <w:tab/>
        <w:t xml:space="preserve">– 2021. </w:t>
      </w:r>
      <w:r>
        <w:rPr>
          <w:rFonts w:cs="Arial"/>
        </w:rPr>
        <w:t xml:space="preserve">  </w:t>
      </w:r>
    </w:p>
    <w:p w:rsidR="006149F1" w:rsidRPr="00CA04F3"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rsidR="00D4431F" w:rsidP="000A081E">
      <w:pPr>
        <w:numPr>
          <w:ilvl w:val="0"/>
          <w:numId w:val="11"/>
        </w:numPr>
        <w:spacing w:after="0" w:line="240" w:lineRule="auto"/>
        <w:jc w:val="both"/>
        <w:rPr>
          <w:rFonts w:cstheme="minorHAnsi"/>
          <w:bCs/>
          <w:iCs/>
        </w:rPr>
      </w:pPr>
      <w:r>
        <w:rPr>
          <w:rFonts w:cstheme="minorHAnsi"/>
          <w:bCs/>
          <w:iCs/>
        </w:rPr>
        <w:tab/>
      </w:r>
      <w:r w:rsidRPr="000A081E" w:rsidR="000A081E">
        <w:rPr>
          <w:rFonts w:cstheme="minorHAnsi"/>
          <w:bCs/>
          <w:iCs/>
        </w:rPr>
        <w:t>That the Committee approve the 2021-2022 Internal Audit Plan</w:t>
      </w:r>
      <w:r w:rsidR="0099510F">
        <w:rPr>
          <w:rFonts w:cstheme="minorHAnsi"/>
          <w:bCs/>
          <w:iCs/>
        </w:rPr>
        <w:t xml:space="preserve"> and associated </w:t>
      </w:r>
      <w:r>
        <w:rPr>
          <w:rFonts w:cstheme="minorHAnsi"/>
          <w:bCs/>
          <w:iCs/>
        </w:rPr>
        <w:tab/>
      </w:r>
      <w:r w:rsidR="0099510F">
        <w:rPr>
          <w:rFonts w:cstheme="minorHAnsi"/>
          <w:bCs/>
          <w:iCs/>
        </w:rPr>
        <w:t>indicators.</w:t>
      </w:r>
    </w:p>
    <w:p w:rsidR="0099510F" w:rsidRPr="000A081E" w:rsidP="000A081E">
      <w:pPr>
        <w:numPr>
          <w:ilvl w:val="0"/>
          <w:numId w:val="11"/>
        </w:numPr>
        <w:spacing w:after="0" w:line="240" w:lineRule="auto"/>
        <w:jc w:val="both"/>
        <w:rPr>
          <w:rFonts w:cstheme="minorHAnsi"/>
          <w:bCs/>
          <w:iCs/>
        </w:rPr>
      </w:pPr>
      <w:r>
        <w:rPr>
          <w:rFonts w:cstheme="minorHAnsi"/>
          <w:bCs/>
          <w:iCs/>
        </w:rPr>
        <w:tab/>
      </w:r>
      <w:r>
        <w:rPr>
          <w:rFonts w:cstheme="minorHAnsi"/>
          <w:bCs/>
          <w:iCs/>
        </w:rPr>
        <w:t>That the Committee approve the Internal Audit Charter.</w:t>
      </w: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rsidR="00D4431F" w:rsidRPr="006149F1" w:rsidP="000A081E">
      <w:pPr>
        <w:numPr>
          <w:ilvl w:val="0"/>
          <w:numId w:val="11"/>
        </w:numPr>
        <w:spacing w:after="0" w:line="240" w:lineRule="auto"/>
        <w:jc w:val="both"/>
        <w:rPr>
          <w:rFonts w:cstheme="minorHAnsi"/>
          <w:bCs/>
          <w:i/>
        </w:rPr>
      </w:pPr>
      <w:r>
        <w:rPr>
          <w:rFonts w:cstheme="minorHAnsi"/>
          <w:bCs/>
        </w:rPr>
        <w:tab/>
      </w:r>
      <w:r w:rsidRPr="00D4431F" w:rsidR="00E33D30">
        <w:rPr>
          <w:rFonts w:cstheme="minorHAnsi"/>
          <w:bCs/>
        </w:rPr>
        <w:t xml:space="preserve">The report relates to the following corporate priorities: </w:t>
      </w:r>
    </w:p>
    <w:p w:rsidR="006149F1" w:rsidRPr="00D4431F"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gridCol w:w="3402"/>
        <w:gridCol w:w="851"/>
      </w:tblGrid>
      <w:tr w:rsidTr="008E66FA">
        <w:tblPrEx>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An exemplary council</w:t>
            </w:r>
          </w:p>
          <w:p w:rsidR="00D4431F" w:rsidRPr="00D4431F" w:rsidP="006149F1">
            <w:pPr>
              <w:spacing w:after="0" w:line="240" w:lineRule="auto"/>
              <w:jc w:val="both"/>
              <w:rPr>
                <w:rFonts w:cstheme="minorHAnsi"/>
                <w:bCs/>
              </w:rPr>
            </w:pPr>
          </w:p>
        </w:tc>
        <w:tc>
          <w:tcPr>
            <w:tcW w:w="850" w:type="dxa"/>
            <w:shd w:val="clear" w:color="auto" w:fill="auto"/>
          </w:tcPr>
          <w:p w:rsidR="00D4431F" w:rsidRPr="00D4431F" w:rsidP="006149F1">
            <w:pPr>
              <w:spacing w:after="0" w:line="240" w:lineRule="auto"/>
              <w:jc w:val="both"/>
              <w:rPr>
                <w:rFonts w:cstheme="minorHAnsi"/>
                <w:bCs/>
              </w:rPr>
            </w:pPr>
            <w:r>
              <w:rPr>
                <w:rFonts w:cstheme="minorHAnsi"/>
                <w:bCs/>
              </w:rPr>
              <w:t>x</w:t>
            </w:r>
          </w:p>
        </w:tc>
        <w:tc>
          <w:tcPr>
            <w:tcW w:w="3402" w:type="dxa"/>
          </w:tcPr>
          <w:p w:rsidR="00D4431F" w:rsidRPr="00D4431F" w:rsidP="006149F1">
            <w:pPr>
              <w:spacing w:after="0" w:line="240" w:lineRule="auto"/>
              <w:jc w:val="both"/>
              <w:rPr>
                <w:rFonts w:cstheme="minorHAnsi"/>
                <w:bCs/>
              </w:rPr>
            </w:pPr>
            <w:r w:rsidRPr="00D4431F">
              <w:rPr>
                <w:rFonts w:cstheme="minorHAnsi"/>
                <w:bCs/>
              </w:rPr>
              <w:t>Thriving communities</w:t>
            </w:r>
          </w:p>
        </w:tc>
        <w:tc>
          <w:tcPr>
            <w:tcW w:w="851" w:type="dxa"/>
          </w:tcPr>
          <w:p w:rsidR="00D4431F" w:rsidRPr="00D4431F" w:rsidP="006149F1">
            <w:pPr>
              <w:spacing w:after="0" w:line="240" w:lineRule="auto"/>
              <w:jc w:val="both"/>
              <w:rPr>
                <w:rFonts w:cstheme="minorHAnsi"/>
                <w:bCs/>
              </w:rPr>
            </w:pPr>
          </w:p>
        </w:tc>
      </w:tr>
      <w:tr w:rsidTr="008E66FA">
        <w:tblPrEx>
          <w:tblW w:w="9526" w:type="dxa"/>
          <w:tblInd w:w="534" w:type="dxa"/>
          <w:tblLook w:val="04A0"/>
        </w:tblPrEx>
        <w:tc>
          <w:tcPr>
            <w:tcW w:w="4423" w:type="dxa"/>
            <w:shd w:val="clear" w:color="auto" w:fill="auto"/>
          </w:tcPr>
          <w:p w:rsidR="00D4431F" w:rsidRPr="00D4431F"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rsidR="00D4431F" w:rsidRPr="00D4431F" w:rsidP="006149F1">
            <w:pPr>
              <w:spacing w:after="0" w:line="240" w:lineRule="auto"/>
              <w:jc w:val="both"/>
              <w:rPr>
                <w:rFonts w:cstheme="minorHAnsi"/>
                <w:bCs/>
              </w:rPr>
            </w:pPr>
          </w:p>
        </w:tc>
        <w:tc>
          <w:tcPr>
            <w:tcW w:w="3402" w:type="dxa"/>
          </w:tcPr>
          <w:p w:rsidR="00D4431F" w:rsidRPr="00D4431F" w:rsidP="006149F1">
            <w:pPr>
              <w:spacing w:after="0" w:line="240" w:lineRule="auto"/>
              <w:jc w:val="both"/>
              <w:rPr>
                <w:rFonts w:cstheme="minorHAnsi"/>
                <w:bCs/>
              </w:rPr>
            </w:pPr>
            <w:r w:rsidRPr="00D4431F">
              <w:rPr>
                <w:rFonts w:cstheme="minorHAnsi"/>
                <w:bCs/>
              </w:rPr>
              <w:t>Good homes, green spaces, healthy places</w:t>
            </w:r>
          </w:p>
        </w:tc>
        <w:tc>
          <w:tcPr>
            <w:tcW w:w="851" w:type="dxa"/>
          </w:tcPr>
          <w:p w:rsidR="00D4431F" w:rsidRPr="00D4431F" w:rsidP="006149F1">
            <w:pPr>
              <w:spacing w:after="0" w:line="240" w:lineRule="auto"/>
              <w:jc w:val="both"/>
              <w:rPr>
                <w:rFonts w:cstheme="minorHAnsi"/>
                <w:bCs/>
              </w:rPr>
            </w:pPr>
          </w:p>
        </w:tc>
      </w:tr>
    </w:tbl>
    <w:p w:rsidR="00D4431F" w:rsidRPr="00D4431F" w:rsidP="00D4431F">
      <w:pPr>
        <w:spacing w:line="240" w:lineRule="auto"/>
        <w:jc w:val="both"/>
        <w:rPr>
          <w:rFonts w:cstheme="minorHAnsi"/>
          <w:bCs/>
        </w:rPr>
      </w:pPr>
    </w:p>
    <w:p w:rsidR="000A081E" w:rsidP="000A081E">
      <w:pPr>
        <w:pBdr>
          <w:top w:val="single" w:sz="2" w:space="1" w:color="FFFFFF"/>
          <w:left w:val="single" w:sz="2" w:space="0" w:color="FFFFFF"/>
          <w:bottom w:val="single" w:sz="2" w:space="2" w:color="FFFFFF"/>
          <w:right w:val="single" w:sz="2" w:space="4" w:color="FFFFFF"/>
        </w:pBdr>
        <w:ind w:right="141"/>
        <w:rPr>
          <w:b/>
        </w:rPr>
      </w:pPr>
      <w:r>
        <w:rPr>
          <w:b/>
        </w:rPr>
        <w:t xml:space="preserve">The Role of Management and Internal Audit  </w:t>
      </w:r>
    </w:p>
    <w:p w:rsidR="000A081E" w:rsidP="000A081E">
      <w:pPr>
        <w:pStyle w:val="ListParagraph"/>
        <w:numPr>
          <w:ilvl w:val="0"/>
          <w:numId w:val="11"/>
        </w:numPr>
        <w:pBdr>
          <w:top w:val="single" w:sz="2" w:space="1" w:color="FFFFFF"/>
          <w:left w:val="single" w:sz="2" w:space="0" w:color="FFFFFF"/>
          <w:bottom w:val="single" w:sz="2" w:space="2" w:color="FFFFFF"/>
          <w:right w:val="single" w:sz="2" w:space="4" w:color="FFFFFF"/>
        </w:pBdr>
        <w:ind w:right="141"/>
      </w:pPr>
      <w:r>
        <w:t xml:space="preserve">The responsibility for implementing a strong system of governance and internal control within the Council lies primarily with the Shared Senior Management </w:t>
      </w:r>
      <w:r w:rsidR="0099510F">
        <w:t>Team.</w:t>
      </w:r>
      <w:r>
        <w:t xml:space="preserve"> Directors and Service </w:t>
      </w:r>
      <w:r w:rsidR="0099510F">
        <w:t>Leads need</w:t>
      </w:r>
      <w:r>
        <w:t xml:space="preserve"> to ensure that they maintain effective control procedures not least because services and business systems are subject to on-going change.</w:t>
      </w:r>
    </w:p>
    <w:p w:rsidR="000A081E" w:rsidP="000A081E">
      <w:pPr>
        <w:pStyle w:val="ListParagraph"/>
        <w:pBdr>
          <w:top w:val="single" w:sz="2" w:space="1" w:color="FFFFFF"/>
          <w:left w:val="single" w:sz="2" w:space="0" w:color="FFFFFF"/>
          <w:bottom w:val="single" w:sz="2" w:space="2" w:color="FFFFFF"/>
          <w:right w:val="single" w:sz="2" w:space="4" w:color="FFFFFF"/>
        </w:pBdr>
        <w:ind w:right="141"/>
      </w:pPr>
    </w:p>
    <w:p w:rsidR="000A081E" w:rsidP="000A081E">
      <w:pPr>
        <w:pStyle w:val="ListParagraph"/>
        <w:numPr>
          <w:ilvl w:val="0"/>
          <w:numId w:val="11"/>
        </w:numPr>
        <w:pBdr>
          <w:top w:val="single" w:sz="2" w:space="1" w:color="FFFFFF"/>
          <w:left w:val="single" w:sz="2" w:space="0" w:color="FFFFFF"/>
          <w:bottom w:val="single" w:sz="2" w:space="2" w:color="FFFFFF"/>
          <w:right w:val="single" w:sz="2" w:space="4" w:color="FFFFFF"/>
        </w:pBdr>
        <w:ind w:right="141"/>
      </w:pPr>
      <w:r>
        <w:t>Internal Audit is an independent appraisal function whose core objective is to evaluate and report on the adequacy of the Council’s system of governance, risk management and internal control. In the main this is achieved through an annual programme of reviews, following a detailed risk assessment of audit need.</w:t>
      </w:r>
    </w:p>
    <w:p w:rsidR="000A081E" w:rsidP="000A081E">
      <w:pPr>
        <w:pBdr>
          <w:top w:val="single" w:sz="2" w:space="1" w:color="FFFFFF"/>
          <w:left w:val="single" w:sz="2" w:space="0" w:color="FFFFFF"/>
          <w:bottom w:val="single" w:sz="2" w:space="2" w:color="FFFFFF"/>
          <w:right w:val="single" w:sz="2" w:space="4" w:color="FFFFFF"/>
        </w:pBdr>
        <w:ind w:right="141"/>
        <w:rPr>
          <w:b/>
        </w:rPr>
      </w:pPr>
      <w:r w:rsidRPr="00F70D72">
        <w:rPr>
          <w:b/>
        </w:rPr>
        <w:t>Audit Plan</w:t>
      </w:r>
    </w:p>
    <w:p w:rsidR="000A081E" w:rsidRPr="000A0D3E" w:rsidP="000A081E">
      <w:pPr>
        <w:pStyle w:val="ListParagraph"/>
        <w:numPr>
          <w:ilvl w:val="0"/>
          <w:numId w:val="11"/>
        </w:numPr>
        <w:pBdr>
          <w:top w:val="single" w:sz="2" w:space="1" w:color="FFFFFF"/>
          <w:left w:val="single" w:sz="2" w:space="0" w:color="FFFFFF"/>
          <w:bottom w:val="single" w:sz="2" w:space="2" w:color="FFFFFF"/>
          <w:right w:val="single" w:sz="2" w:space="4" w:color="FFFFFF"/>
        </w:pBdr>
        <w:spacing w:line="240" w:lineRule="auto"/>
        <w:ind w:right="142"/>
        <w:jc w:val="both"/>
      </w:pPr>
      <w:r w:rsidRPr="000F750D">
        <w:t>T</w:t>
      </w:r>
      <w:r w:rsidRPr="000A081E">
        <w:rPr>
          <w:bCs/>
        </w:rPr>
        <w:t>he 20</w:t>
      </w:r>
      <w:r>
        <w:rPr>
          <w:bCs/>
        </w:rPr>
        <w:t>2</w:t>
      </w:r>
      <w:r w:rsidR="000A0D3E">
        <w:rPr>
          <w:bCs/>
        </w:rPr>
        <w:t>1-2022</w:t>
      </w:r>
      <w:r w:rsidRPr="000A081E">
        <w:rPr>
          <w:bCs/>
        </w:rPr>
        <w:t xml:space="preserve"> Internal Audit Plan contains the programme of reviews for the next financial year and is shown at </w:t>
      </w:r>
      <w:r w:rsidRPr="000A081E">
        <w:rPr>
          <w:b/>
          <w:bCs/>
        </w:rPr>
        <w:t xml:space="preserve">Appendix </w:t>
      </w:r>
      <w:r w:rsidR="000A0D3E">
        <w:rPr>
          <w:b/>
          <w:bCs/>
        </w:rPr>
        <w:t>A</w:t>
      </w:r>
      <w:r w:rsidRPr="000A081E">
        <w:rPr>
          <w:b/>
          <w:bCs/>
        </w:rPr>
        <w:t xml:space="preserve">. </w:t>
      </w:r>
      <w:r w:rsidRPr="000A081E">
        <w:rPr>
          <w:bCs/>
        </w:rPr>
        <w:t xml:space="preserve">This has been constructed following an assessment of audit need by considering a range of factors, such as significant changes in staffing, systems and procedures, the length of time since an area was last audited and items in the </w:t>
      </w:r>
      <w:r w:rsidR="000A0D3E">
        <w:rPr>
          <w:bCs/>
        </w:rPr>
        <w:t>Strategic Risk Register</w:t>
      </w:r>
      <w:r w:rsidRPr="000A081E">
        <w:rPr>
          <w:bCs/>
        </w:rPr>
        <w:t>. There has also been extensive consultation within each service and by the S</w:t>
      </w:r>
      <w:r w:rsidR="000A0D3E">
        <w:rPr>
          <w:bCs/>
        </w:rPr>
        <w:t>hared Senior Management Team</w:t>
      </w:r>
      <w:r w:rsidRPr="000A081E">
        <w:rPr>
          <w:bCs/>
        </w:rPr>
        <w:t xml:space="preserve"> which has taken an overview of audit requirements. </w:t>
      </w:r>
    </w:p>
    <w:p w:rsidR="000A0D3E" w:rsidRPr="000F750D" w:rsidP="000A0D3E">
      <w:pPr>
        <w:pStyle w:val="ListParagraph"/>
        <w:pBdr>
          <w:top w:val="single" w:sz="2" w:space="1" w:color="FFFFFF"/>
          <w:left w:val="single" w:sz="2" w:space="0" w:color="FFFFFF"/>
          <w:bottom w:val="single" w:sz="2" w:space="2" w:color="FFFFFF"/>
          <w:right w:val="single" w:sz="2" w:space="4" w:color="FFFFFF"/>
        </w:pBdr>
        <w:spacing w:line="240" w:lineRule="auto"/>
        <w:ind w:right="142"/>
        <w:jc w:val="both"/>
      </w:pPr>
    </w:p>
    <w:p w:rsidR="000A081E" w:rsidRPr="006C752D" w:rsidP="000A0D3E">
      <w:pPr>
        <w:pStyle w:val="ListParagraph"/>
        <w:numPr>
          <w:ilvl w:val="0"/>
          <w:numId w:val="11"/>
        </w:numPr>
        <w:pBdr>
          <w:top w:val="single" w:sz="2" w:space="1" w:color="FFFFFF"/>
          <w:left w:val="single" w:sz="2" w:space="0" w:color="FFFFFF"/>
          <w:bottom w:val="single" w:sz="2" w:space="2" w:color="FFFFFF"/>
          <w:right w:val="single" w:sz="2" w:space="4" w:color="FFFFFF"/>
        </w:pBdr>
        <w:ind w:right="141"/>
      </w:pPr>
      <w:r>
        <w:t>The following paragraphs summarise the individual areas that will be subject to audit coverage in 20</w:t>
      </w:r>
      <w:r w:rsidR="000A0D3E">
        <w:t>21-2022</w:t>
      </w:r>
      <w:r>
        <w:t>.</w:t>
      </w:r>
    </w:p>
    <w:p w:rsidR="000A081E" w:rsidRPr="00A26921" w:rsidP="000A081E">
      <w:pPr>
        <w:pBdr>
          <w:top w:val="single" w:sz="2" w:space="1" w:color="FFFFFF"/>
          <w:left w:val="single" w:sz="2" w:space="0" w:color="FFFFFF"/>
          <w:bottom w:val="single" w:sz="2" w:space="2" w:color="FFFFFF"/>
          <w:right w:val="single" w:sz="2" w:space="4" w:color="FFFFFF"/>
        </w:pBdr>
        <w:ind w:right="141"/>
        <w:rPr>
          <w:b/>
        </w:rPr>
      </w:pPr>
      <w:r w:rsidRPr="00A26921">
        <w:rPr>
          <w:b/>
        </w:rPr>
        <w:t xml:space="preserve">Corporate </w:t>
      </w:r>
    </w:p>
    <w:p w:rsidR="000A081E" w:rsidP="000A081E">
      <w:pPr>
        <w:numPr>
          <w:ilvl w:val="0"/>
          <w:numId w:val="12"/>
        </w:numPr>
        <w:pBdr>
          <w:top w:val="single" w:sz="2" w:space="1" w:color="FFFFFF"/>
          <w:left w:val="single" w:sz="2" w:space="0" w:color="FFFFFF"/>
          <w:bottom w:val="single" w:sz="2" w:space="2" w:color="FFFFFF"/>
          <w:right w:val="single" w:sz="2" w:space="4" w:color="FFFFFF"/>
        </w:pBdr>
        <w:spacing w:after="0" w:line="240" w:lineRule="auto"/>
        <w:ind w:right="141"/>
        <w:jc w:val="both"/>
      </w:pPr>
      <w:r>
        <w:t>Undertaking corporate and service level governance reviews in support of the Annual Governance Statement;</w:t>
      </w:r>
    </w:p>
    <w:p w:rsidR="000A081E" w:rsidRPr="000A0D3E" w:rsidP="000A081E">
      <w:pPr>
        <w:pStyle w:val="ListParagraph"/>
        <w:numPr>
          <w:ilvl w:val="0"/>
          <w:numId w:val="12"/>
        </w:numPr>
        <w:spacing w:after="0" w:line="240" w:lineRule="auto"/>
        <w:contextualSpacing w:val="0"/>
        <w:jc w:val="both"/>
        <w:rPr>
          <w:rFonts w:cstheme="minorHAnsi"/>
        </w:rPr>
      </w:pPr>
      <w:r w:rsidRPr="000A0D3E">
        <w:rPr>
          <w:rFonts w:cstheme="minorHAnsi"/>
        </w:rPr>
        <w:t>Review and update of Anti-Fraud and Corruption Policies.</w:t>
      </w:r>
      <w:r>
        <w:rPr>
          <w:rFonts w:cstheme="minorHAnsi"/>
        </w:rPr>
        <w:t xml:space="preserve">  </w:t>
      </w:r>
      <w:r w:rsidRPr="000A0D3E">
        <w:rPr>
          <w:rFonts w:cstheme="minorHAnsi"/>
        </w:rPr>
        <w:t>Raising Officers’ and Members’ awareness of fraud by publishing regular fraud bulletins;</w:t>
      </w:r>
    </w:p>
    <w:p w:rsidR="000A081E" w:rsidP="000A081E">
      <w:pPr>
        <w:numPr>
          <w:ilvl w:val="0"/>
          <w:numId w:val="12"/>
        </w:numPr>
        <w:pBdr>
          <w:top w:val="single" w:sz="2" w:space="1" w:color="FFFFFF"/>
          <w:left w:val="single" w:sz="2" w:space="0" w:color="FFFFFF"/>
          <w:bottom w:val="single" w:sz="2" w:space="2" w:color="FFFFFF"/>
          <w:right w:val="single" w:sz="2" w:space="4" w:color="FFFFFF"/>
        </w:pBdr>
        <w:spacing w:after="0" w:line="240" w:lineRule="auto"/>
        <w:ind w:right="141"/>
        <w:jc w:val="both"/>
      </w:pPr>
      <w:r>
        <w:t>Co-ordinating the Council’s input to the National Fraud Initiative (NFI) which enables specific data on the Council’s computer systems to be collated and matched with similar data from other councils / public bodies, in order to identify any potential irregularities.</w:t>
      </w:r>
    </w:p>
    <w:p w:rsidR="003D0400" w:rsidP="000A081E">
      <w:pPr>
        <w:numPr>
          <w:ilvl w:val="0"/>
          <w:numId w:val="12"/>
        </w:numPr>
        <w:pBdr>
          <w:top w:val="single" w:sz="2" w:space="1" w:color="FFFFFF"/>
          <w:left w:val="single" w:sz="2" w:space="0" w:color="FFFFFF"/>
          <w:bottom w:val="single" w:sz="2" w:space="2" w:color="FFFFFF"/>
          <w:right w:val="single" w:sz="2" w:space="4" w:color="FFFFFF"/>
        </w:pBdr>
        <w:spacing w:after="0" w:line="240" w:lineRule="auto"/>
        <w:ind w:right="141"/>
        <w:jc w:val="both"/>
      </w:pPr>
      <w:r>
        <w:t>Supporting the work of the Programme Board.</w:t>
      </w:r>
    </w:p>
    <w:p w:rsidR="003D0400" w:rsidRPr="003D0400" w:rsidP="000A081E">
      <w:pPr>
        <w:numPr>
          <w:ilvl w:val="0"/>
          <w:numId w:val="12"/>
        </w:numPr>
        <w:pBdr>
          <w:top w:val="single" w:sz="2" w:space="1" w:color="FFFFFF"/>
          <w:left w:val="single" w:sz="2" w:space="0" w:color="FFFFFF"/>
          <w:bottom w:val="single" w:sz="2" w:space="2" w:color="FFFFFF"/>
          <w:right w:val="single" w:sz="2" w:space="4" w:color="FFFFFF"/>
        </w:pBdr>
        <w:spacing w:after="0" w:line="240" w:lineRule="auto"/>
        <w:ind w:right="141"/>
        <w:jc w:val="both"/>
      </w:pPr>
      <w:r>
        <w:t>Finalising the draft Internal Audit review of the Health and Wellbeing Campus.</w:t>
      </w:r>
    </w:p>
    <w:p w:rsidR="000A081E" w:rsidP="000A081E">
      <w:pPr>
        <w:pBdr>
          <w:top w:val="single" w:sz="2" w:space="1" w:color="FFFFFF"/>
          <w:left w:val="single" w:sz="2" w:space="0" w:color="FFFFFF"/>
          <w:bottom w:val="single" w:sz="2" w:space="2" w:color="FFFFFF"/>
          <w:right w:val="single" w:sz="2" w:space="4" w:color="FFFFFF"/>
        </w:pBdr>
        <w:ind w:right="141"/>
        <w:rPr>
          <w:b/>
        </w:rPr>
      </w:pPr>
    </w:p>
    <w:p w:rsidR="003D0400" w:rsidP="003D0400">
      <w:pPr>
        <w:pBdr>
          <w:top w:val="single" w:sz="2" w:space="1" w:color="FFFFFF"/>
          <w:left w:val="single" w:sz="2" w:space="0" w:color="FFFFFF"/>
          <w:bottom w:val="single" w:sz="2" w:space="2" w:color="FFFFFF"/>
          <w:right w:val="single" w:sz="2" w:space="4" w:color="FFFFFF"/>
        </w:pBdr>
        <w:ind w:right="141"/>
        <w:rPr>
          <w:b/>
          <w:bCs/>
        </w:rPr>
      </w:pPr>
      <w:r w:rsidRPr="00D464E7">
        <w:rPr>
          <w:b/>
          <w:bCs/>
        </w:rPr>
        <w:t xml:space="preserve">Risk Based Reviews </w:t>
      </w:r>
      <w:r w:rsidR="00A77C8F">
        <w:rPr>
          <w:b/>
          <w:bCs/>
        </w:rPr>
        <w:t>of the following systems</w:t>
      </w:r>
    </w:p>
    <w:p w:rsidR="00D464E7" w:rsidRP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rPr>
          <w:b/>
          <w:bCs/>
        </w:rPr>
      </w:pPr>
      <w:r>
        <w:t>Council tax</w:t>
      </w:r>
    </w:p>
    <w:p w:rsidR="00D464E7" w:rsidRP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rPr>
          <w:b/>
          <w:bCs/>
        </w:rPr>
      </w:pPr>
      <w:r>
        <w:t>Business rates</w:t>
      </w:r>
    </w:p>
    <w:p w:rsidR="00D464E7" w:rsidRP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rPr>
          <w:b/>
          <w:bCs/>
        </w:rPr>
      </w:pPr>
      <w:r>
        <w:t>Sundry debtors</w:t>
      </w:r>
    </w:p>
    <w:p w:rsid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rsidRPr="00D464E7">
        <w:t xml:space="preserve">ICT </w:t>
      </w:r>
      <w:r>
        <w:t>r</w:t>
      </w:r>
      <w:r w:rsidRPr="00D464E7">
        <w:t>eviews</w:t>
      </w:r>
      <w:r w:rsidR="002D5159">
        <w:t xml:space="preserve"> x </w:t>
      </w:r>
      <w:r w:rsidR="000F6F40">
        <w:t>2</w:t>
      </w:r>
      <w:r w:rsidRPr="00D464E7" w:rsidR="000F6F40">
        <w:t xml:space="preserve"> </w:t>
      </w:r>
      <w:r w:rsidR="000F6F40">
        <w:t>(</w:t>
      </w:r>
      <w:r>
        <w:t>reviews to be determined</w:t>
      </w:r>
      <w:r w:rsidR="007411A1">
        <w:t>)</w:t>
      </w:r>
    </w:p>
    <w:p w:rsid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Neighbourhoods record management</w:t>
      </w:r>
    </w:p>
    <w:p w:rsid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Plant inventories / contract management</w:t>
      </w:r>
    </w:p>
    <w:p w:rsid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Section 106 Agreements</w:t>
      </w:r>
    </w:p>
    <w:p w:rsid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Community Infrastructure Levy</w:t>
      </w:r>
    </w:p>
    <w:p w:rsid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Commercial and Assets</w:t>
      </w:r>
    </w:p>
    <w:p w:rsid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Leisure Centres</w:t>
      </w:r>
    </w:p>
    <w:p w:rsidR="00D464E7"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Facilities and Building Management</w:t>
      </w:r>
    </w:p>
    <w:p w:rsidR="00973FB5"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Safeguarding (including Prevent arrangements)</w:t>
      </w:r>
    </w:p>
    <w:p w:rsidR="00973FB5"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Disabled facilities grants</w:t>
      </w:r>
    </w:p>
    <w:p w:rsidR="00973FB5"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Recruitment and selection</w:t>
      </w:r>
    </w:p>
    <w:p w:rsidR="00973FB5"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Payroll</w:t>
      </w:r>
    </w:p>
    <w:p w:rsidR="00973FB5"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Budget monitoring and reporting</w:t>
      </w:r>
    </w:p>
    <w:p w:rsidR="00973FB5"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Journals / Bank reconciliations</w:t>
      </w:r>
    </w:p>
    <w:p w:rsidR="00973FB5"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Creditors</w:t>
      </w:r>
    </w:p>
    <w:p w:rsidR="00973FB5" w:rsidP="00D464E7">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Treasury management</w:t>
      </w:r>
    </w:p>
    <w:p w:rsidR="003D0400" w:rsidP="00097DC6">
      <w:pPr>
        <w:pStyle w:val="ListParagraph"/>
        <w:numPr>
          <w:ilvl w:val="0"/>
          <w:numId w:val="21"/>
        </w:numPr>
        <w:pBdr>
          <w:top w:val="single" w:sz="2" w:space="1" w:color="FFFFFF"/>
          <w:left w:val="single" w:sz="2" w:space="0" w:color="FFFFFF"/>
          <w:bottom w:val="single" w:sz="2" w:space="2" w:color="FFFFFF"/>
          <w:right w:val="single" w:sz="2" w:space="4" w:color="FFFFFF"/>
        </w:pBdr>
        <w:ind w:right="141"/>
      </w:pPr>
      <w:r>
        <w:t>Income collection</w:t>
      </w:r>
    </w:p>
    <w:p w:rsidR="00D464E7" w:rsidP="003D0400">
      <w:pPr>
        <w:pBdr>
          <w:top w:val="single" w:sz="2" w:space="1" w:color="FFFFFF"/>
          <w:left w:val="single" w:sz="2" w:space="0" w:color="FFFFFF"/>
          <w:bottom w:val="single" w:sz="2" w:space="2" w:color="FFFFFF"/>
          <w:right w:val="single" w:sz="2" w:space="4" w:color="FFFFFF"/>
        </w:pBdr>
        <w:ind w:right="141"/>
        <w:rPr>
          <w:b/>
          <w:bCs/>
        </w:rPr>
      </w:pPr>
      <w:r>
        <w:rPr>
          <w:b/>
          <w:bCs/>
        </w:rPr>
        <w:t>Compliance Reviews</w:t>
      </w:r>
    </w:p>
    <w:p w:rsidR="00973FB5" w:rsidP="00973FB5">
      <w:pPr>
        <w:pStyle w:val="ListParagraph"/>
        <w:numPr>
          <w:ilvl w:val="0"/>
          <w:numId w:val="22"/>
        </w:numPr>
        <w:pBdr>
          <w:top w:val="single" w:sz="2" w:space="1" w:color="FFFFFF"/>
          <w:left w:val="single" w:sz="2" w:space="0" w:color="FFFFFF"/>
          <w:bottom w:val="single" w:sz="2" w:space="2" w:color="FFFFFF"/>
          <w:right w:val="single" w:sz="2" w:space="4" w:color="FFFFFF"/>
        </w:pBdr>
        <w:ind w:right="141"/>
      </w:pPr>
      <w:r w:rsidRPr="00973FB5">
        <w:t>Performance Management / Data Quality</w:t>
      </w:r>
    </w:p>
    <w:p w:rsidR="00973FB5" w:rsidP="00973FB5">
      <w:pPr>
        <w:pStyle w:val="ListParagraph"/>
        <w:numPr>
          <w:ilvl w:val="0"/>
          <w:numId w:val="22"/>
        </w:numPr>
        <w:pBdr>
          <w:top w:val="single" w:sz="2" w:space="1" w:color="FFFFFF"/>
          <w:left w:val="single" w:sz="2" w:space="0" w:color="FFFFFF"/>
          <w:bottom w:val="single" w:sz="2" w:space="2" w:color="FFFFFF"/>
          <w:right w:val="single" w:sz="2" w:space="4" w:color="FFFFFF"/>
        </w:pBdr>
        <w:ind w:right="141"/>
      </w:pPr>
      <w:r>
        <w:t>General Data Protection Regulations</w:t>
      </w:r>
    </w:p>
    <w:p w:rsidR="00973FB5" w:rsidP="00973FB5">
      <w:pPr>
        <w:pStyle w:val="ListParagraph"/>
        <w:numPr>
          <w:ilvl w:val="0"/>
          <w:numId w:val="22"/>
        </w:numPr>
        <w:pBdr>
          <w:top w:val="single" w:sz="2" w:space="1" w:color="FFFFFF"/>
          <w:left w:val="single" w:sz="2" w:space="0" w:color="FFFFFF"/>
          <w:bottom w:val="single" w:sz="2" w:space="2" w:color="FFFFFF"/>
          <w:right w:val="single" w:sz="2" w:space="4" w:color="FFFFFF"/>
        </w:pBdr>
        <w:ind w:right="141"/>
      </w:pPr>
      <w:r>
        <w:t>Health and Safety</w:t>
      </w:r>
    </w:p>
    <w:p w:rsidR="00973FB5" w:rsidP="00973FB5">
      <w:pPr>
        <w:pStyle w:val="ListParagraph"/>
        <w:numPr>
          <w:ilvl w:val="0"/>
          <w:numId w:val="22"/>
        </w:numPr>
        <w:pBdr>
          <w:top w:val="single" w:sz="2" w:space="1" w:color="FFFFFF"/>
          <w:left w:val="single" w:sz="2" w:space="0" w:color="FFFFFF"/>
          <w:bottom w:val="single" w:sz="2" w:space="2" w:color="FFFFFF"/>
          <w:right w:val="single" w:sz="2" w:space="4" w:color="FFFFFF"/>
        </w:pBdr>
        <w:ind w:right="141"/>
      </w:pPr>
      <w:r>
        <w:t xml:space="preserve">Risk Management </w:t>
      </w:r>
    </w:p>
    <w:p w:rsidR="00973FB5" w:rsidRPr="00973FB5" w:rsidP="00973FB5">
      <w:pPr>
        <w:pStyle w:val="ListParagraph"/>
        <w:numPr>
          <w:ilvl w:val="0"/>
          <w:numId w:val="22"/>
        </w:numPr>
        <w:pBdr>
          <w:top w:val="single" w:sz="2" w:space="1" w:color="FFFFFF"/>
          <w:left w:val="single" w:sz="2" w:space="0" w:color="FFFFFF"/>
          <w:bottom w:val="single" w:sz="2" w:space="2" w:color="FFFFFF"/>
          <w:right w:val="single" w:sz="2" w:space="4" w:color="FFFFFF"/>
        </w:pBdr>
        <w:ind w:right="141"/>
      </w:pPr>
      <w:r>
        <w:t>Contract Procedure Rules</w:t>
      </w:r>
    </w:p>
    <w:p w:rsidR="000A081E" w:rsidP="003D0400">
      <w:pPr>
        <w:pBdr>
          <w:top w:val="single" w:sz="2" w:space="1" w:color="FFFFFF"/>
          <w:left w:val="single" w:sz="2" w:space="0" w:color="FFFFFF"/>
          <w:bottom w:val="single" w:sz="2" w:space="2" w:color="FFFFFF"/>
          <w:right w:val="single" w:sz="2" w:space="4" w:color="FFFFFF"/>
        </w:pBdr>
        <w:ind w:right="141"/>
        <w:rPr>
          <w:b/>
          <w:bCs/>
        </w:rPr>
      </w:pPr>
      <w:r>
        <w:rPr>
          <w:b/>
          <w:bCs/>
        </w:rPr>
        <w:t>Project Team Support</w:t>
      </w:r>
    </w:p>
    <w:p w:rsidR="00973FB5" w:rsidP="007F437B">
      <w:pPr>
        <w:pStyle w:val="ListParagraph"/>
        <w:numPr>
          <w:ilvl w:val="0"/>
          <w:numId w:val="23"/>
        </w:numPr>
        <w:pBdr>
          <w:top w:val="single" w:sz="2" w:space="1" w:color="FFFFFF"/>
          <w:left w:val="single" w:sz="2" w:space="0" w:color="FFFFFF"/>
          <w:bottom w:val="single" w:sz="2" w:space="2" w:color="FFFFFF"/>
          <w:right w:val="single" w:sz="2" w:space="4" w:color="FFFFFF"/>
        </w:pBdr>
        <w:spacing w:line="240" w:lineRule="auto"/>
        <w:ind w:right="142"/>
      </w:pPr>
      <w:r>
        <w:t>Revenues and Benefits aligning of processes</w:t>
      </w:r>
    </w:p>
    <w:p w:rsidR="00D464E7" w:rsidP="002D5159">
      <w:pPr>
        <w:pStyle w:val="ListParagraph"/>
        <w:numPr>
          <w:ilvl w:val="0"/>
          <w:numId w:val="23"/>
        </w:numPr>
        <w:pBdr>
          <w:top w:val="single" w:sz="2" w:space="1" w:color="FFFFFF"/>
          <w:left w:val="single" w:sz="2" w:space="0" w:color="FFFFFF"/>
          <w:bottom w:val="single" w:sz="2" w:space="2" w:color="FFFFFF"/>
          <w:right w:val="single" w:sz="2" w:space="4" w:color="FFFFFF"/>
        </w:pBdr>
        <w:spacing w:line="240" w:lineRule="auto"/>
        <w:ind w:right="142"/>
      </w:pPr>
      <w:r>
        <w:t xml:space="preserve">Town </w:t>
      </w:r>
      <w:r w:rsidR="0099510F">
        <w:t xml:space="preserve">Deal </w:t>
      </w:r>
      <w:r w:rsidR="000F6F40">
        <w:t>/ Worden</w:t>
      </w:r>
      <w:r>
        <w:t xml:space="preserve"> Hall</w:t>
      </w:r>
    </w:p>
    <w:p w:rsidR="000A081E" w:rsidP="000A081E">
      <w:pPr>
        <w:pBdr>
          <w:top w:val="single" w:sz="2" w:space="1" w:color="FFFFFF"/>
          <w:left w:val="single" w:sz="2" w:space="0" w:color="FFFFFF"/>
          <w:bottom w:val="single" w:sz="2" w:space="2" w:color="FFFFFF"/>
          <w:right w:val="single" w:sz="2" w:space="4" w:color="FFFFFF"/>
        </w:pBdr>
        <w:ind w:right="141"/>
        <w:rPr>
          <w:b/>
          <w:bCs/>
        </w:rPr>
      </w:pPr>
      <w:r w:rsidRPr="00EB31D8">
        <w:rPr>
          <w:b/>
          <w:bCs/>
        </w:rPr>
        <w:t>General Areas</w:t>
      </w:r>
    </w:p>
    <w:p w:rsidR="000A081E" w:rsidRPr="00A64C41" w:rsidP="000A081E">
      <w:pPr>
        <w:pBdr>
          <w:top w:val="single" w:sz="2" w:space="1" w:color="FFFFFF"/>
          <w:left w:val="single" w:sz="2" w:space="0" w:color="FFFFFF"/>
          <w:bottom w:val="single" w:sz="2" w:space="2" w:color="FFFFFF"/>
          <w:right w:val="single" w:sz="2" w:space="4" w:color="FFFFFF"/>
        </w:pBdr>
        <w:ind w:right="141"/>
        <w:rPr>
          <w:bCs/>
        </w:rPr>
      </w:pPr>
      <w:r w:rsidRPr="00A64C41">
        <w:rPr>
          <w:bCs/>
        </w:rPr>
        <w:t xml:space="preserve">This aspect of the Plan is to enable </w:t>
      </w:r>
      <w:r w:rsidR="002D5159">
        <w:rPr>
          <w:bCs/>
        </w:rPr>
        <w:t xml:space="preserve">Internal Audit </w:t>
      </w:r>
      <w:r w:rsidRPr="00A64C41">
        <w:rPr>
          <w:bCs/>
        </w:rPr>
        <w:t>to:</w:t>
      </w:r>
    </w:p>
    <w:p w:rsidR="000A081E" w:rsidP="000A081E">
      <w:pPr>
        <w:numPr>
          <w:ilvl w:val="0"/>
          <w:numId w:val="13"/>
        </w:numPr>
        <w:pBdr>
          <w:top w:val="single" w:sz="2" w:space="1" w:color="FFFFFF"/>
          <w:left w:val="single" w:sz="2" w:space="0" w:color="FFFFFF"/>
          <w:bottom w:val="single" w:sz="2" w:space="2" w:color="FFFFFF"/>
          <w:right w:val="single" w:sz="2" w:space="4" w:color="FFFFFF"/>
        </w:pBdr>
        <w:spacing w:after="0" w:line="240" w:lineRule="auto"/>
        <w:ind w:right="141"/>
        <w:jc w:val="both"/>
      </w:pPr>
      <w:r>
        <w:t>Follow-up management actions agreed in earlier audit reports;</w:t>
      </w:r>
    </w:p>
    <w:p w:rsidR="002D5159" w:rsidP="000A081E">
      <w:pPr>
        <w:numPr>
          <w:ilvl w:val="0"/>
          <w:numId w:val="13"/>
        </w:numPr>
        <w:pBdr>
          <w:top w:val="single" w:sz="2" w:space="1" w:color="FFFFFF"/>
          <w:left w:val="single" w:sz="2" w:space="0" w:color="FFFFFF"/>
          <w:bottom w:val="single" w:sz="2" w:space="2" w:color="FFFFFF"/>
          <w:right w:val="single" w:sz="2" w:space="4" w:color="FFFFFF"/>
        </w:pBdr>
        <w:spacing w:after="0" w:line="240" w:lineRule="auto"/>
        <w:ind w:right="141"/>
        <w:jc w:val="both"/>
      </w:pPr>
      <w:r>
        <w:t>Respond to requests from Management for unplanned reviews</w:t>
      </w:r>
    </w:p>
    <w:p w:rsidR="002D5159" w:rsidP="000A081E">
      <w:pPr>
        <w:numPr>
          <w:ilvl w:val="0"/>
          <w:numId w:val="13"/>
        </w:numPr>
        <w:pBdr>
          <w:top w:val="single" w:sz="2" w:space="1" w:color="FFFFFF"/>
          <w:left w:val="single" w:sz="2" w:space="0" w:color="FFFFFF"/>
          <w:bottom w:val="single" w:sz="2" w:space="2" w:color="FFFFFF"/>
          <w:right w:val="single" w:sz="2" w:space="4" w:color="FFFFFF"/>
        </w:pBdr>
        <w:spacing w:after="0" w:line="240" w:lineRule="auto"/>
        <w:ind w:right="141"/>
        <w:jc w:val="both"/>
      </w:pPr>
      <w:r>
        <w:t>Assist with the Lancashire wide Public Sector Internal Audit Standards peer reviews</w:t>
      </w:r>
    </w:p>
    <w:p w:rsidR="000A081E" w:rsidP="000A081E">
      <w:pPr>
        <w:numPr>
          <w:ilvl w:val="0"/>
          <w:numId w:val="13"/>
        </w:numPr>
        <w:pBdr>
          <w:top w:val="single" w:sz="2" w:space="1" w:color="FFFFFF"/>
          <w:left w:val="single" w:sz="2" w:space="0" w:color="FFFFFF"/>
          <w:bottom w:val="single" w:sz="2" w:space="2" w:color="FFFFFF"/>
          <w:right w:val="single" w:sz="2" w:space="4" w:color="FFFFFF"/>
        </w:pBdr>
        <w:spacing w:after="0" w:line="240" w:lineRule="auto"/>
        <w:ind w:right="141"/>
        <w:jc w:val="both"/>
      </w:pPr>
      <w:r>
        <w:t>Complete any residual work from 20</w:t>
      </w:r>
      <w:r w:rsidR="002D5159">
        <w:t>20/21</w:t>
      </w:r>
      <w:r>
        <w:t xml:space="preserve"> </w:t>
      </w:r>
    </w:p>
    <w:p w:rsidR="000A081E" w:rsidP="000A081E">
      <w:pPr>
        <w:numPr>
          <w:ilvl w:val="0"/>
          <w:numId w:val="13"/>
        </w:numPr>
        <w:pBdr>
          <w:top w:val="single" w:sz="2" w:space="1" w:color="FFFFFF"/>
          <w:left w:val="single" w:sz="2" w:space="0" w:color="FFFFFF"/>
          <w:bottom w:val="single" w:sz="2" w:space="2" w:color="FFFFFF"/>
          <w:right w:val="single" w:sz="2" w:space="4" w:color="FFFFFF"/>
        </w:pBdr>
        <w:spacing w:after="0" w:line="240" w:lineRule="auto"/>
        <w:ind w:right="141"/>
        <w:jc w:val="both"/>
      </w:pPr>
      <w:r>
        <w:t>Undertake the review of effectiveness of Internal Audit</w:t>
      </w:r>
    </w:p>
    <w:p w:rsidR="002D5159" w:rsidP="000A081E">
      <w:pPr>
        <w:numPr>
          <w:ilvl w:val="0"/>
          <w:numId w:val="13"/>
        </w:numPr>
        <w:pBdr>
          <w:top w:val="single" w:sz="2" w:space="1" w:color="FFFFFF"/>
          <w:left w:val="single" w:sz="2" w:space="0" w:color="FFFFFF"/>
          <w:bottom w:val="single" w:sz="2" w:space="2" w:color="FFFFFF"/>
          <w:right w:val="single" w:sz="2" w:space="4" w:color="FFFFFF"/>
        </w:pBdr>
        <w:spacing w:after="0" w:line="240" w:lineRule="auto"/>
        <w:ind w:right="141"/>
        <w:jc w:val="both"/>
      </w:pPr>
      <w:r>
        <w:t>GRACE system administrator role</w:t>
      </w:r>
    </w:p>
    <w:p w:rsidR="000A081E" w:rsidP="000A081E">
      <w:pPr>
        <w:numPr>
          <w:ilvl w:val="0"/>
          <w:numId w:val="13"/>
        </w:numPr>
        <w:pBdr>
          <w:top w:val="single" w:sz="2" w:space="1" w:color="FFFFFF"/>
          <w:left w:val="single" w:sz="2" w:space="0" w:color="FFFFFF"/>
          <w:bottom w:val="single" w:sz="2" w:space="2" w:color="FFFFFF"/>
          <w:right w:val="single" w:sz="2" w:space="4" w:color="FFFFFF"/>
        </w:pBdr>
        <w:spacing w:after="0" w:line="240" w:lineRule="auto"/>
        <w:ind w:right="141"/>
        <w:jc w:val="both"/>
      </w:pPr>
      <w:r>
        <w:t xml:space="preserve">Prepare reports for and attend the Governance Committee. </w:t>
      </w:r>
    </w:p>
    <w:p w:rsidR="00653268" w:rsidP="00653268">
      <w:pPr>
        <w:pBdr>
          <w:top w:val="single" w:sz="2" w:space="1" w:color="FFFFFF"/>
          <w:left w:val="single" w:sz="2" w:space="0" w:color="FFFFFF"/>
          <w:bottom w:val="single" w:sz="2" w:space="2" w:color="FFFFFF"/>
          <w:right w:val="single" w:sz="2" w:space="4" w:color="FFFFFF"/>
        </w:pBdr>
        <w:spacing w:after="0" w:line="240" w:lineRule="auto"/>
        <w:ind w:right="141"/>
        <w:jc w:val="both"/>
      </w:pPr>
    </w:p>
    <w:p w:rsidR="00653268" w:rsidP="00653268">
      <w:pPr>
        <w:pBdr>
          <w:top w:val="single" w:sz="2" w:space="1" w:color="FFFFFF"/>
          <w:left w:val="single" w:sz="2" w:space="0" w:color="FFFFFF"/>
          <w:bottom w:val="single" w:sz="2" w:space="2" w:color="FFFFFF"/>
          <w:right w:val="single" w:sz="2" w:space="4" w:color="FFFFFF"/>
        </w:pBdr>
        <w:spacing w:after="0" w:line="240" w:lineRule="auto"/>
        <w:ind w:right="141"/>
        <w:jc w:val="both"/>
      </w:pPr>
      <w:r>
        <w:t>In addition to the above, the Internal Audit plan also contains time to support the additional work placed on the Authority as a result of COVID.  This work will consist of providing post assurance on the Business Support grants and other payments.   Internal Audit will also provide support in development of any new process to ensure effective controls are in place and operational.</w:t>
      </w:r>
    </w:p>
    <w:p w:rsidR="000A081E" w:rsidRPr="002D5159" w:rsidP="002D5159">
      <w:pPr>
        <w:pStyle w:val="Heading2"/>
        <w:rPr>
          <w:rFonts w:asciiTheme="majorHAnsi" w:hAnsiTheme="majorHAnsi" w:cstheme="majorHAnsi"/>
          <w:sz w:val="22"/>
          <w:szCs w:val="22"/>
          <w:lang w:eastAsia="en-US"/>
        </w:rPr>
      </w:pPr>
      <w:r w:rsidRPr="002D5159">
        <w:rPr>
          <w:rFonts w:asciiTheme="majorHAnsi" w:hAnsiTheme="majorHAnsi" w:cstheme="majorHAnsi"/>
          <w:sz w:val="22"/>
          <w:szCs w:val="22"/>
        </w:rPr>
        <w:t>Audit Days</w:t>
      </w:r>
    </w:p>
    <w:p w:rsidR="000A081E" w:rsidP="002D5159">
      <w:pPr>
        <w:pStyle w:val="ListParagraph"/>
        <w:numPr>
          <w:ilvl w:val="0"/>
          <w:numId w:val="11"/>
        </w:numPr>
        <w:pBdr>
          <w:top w:val="single" w:sz="2" w:space="1" w:color="FFFFFF"/>
          <w:left w:val="single" w:sz="2" w:space="0" w:color="FFFFFF"/>
          <w:bottom w:val="single" w:sz="2" w:space="2" w:color="FFFFFF"/>
          <w:right w:val="single" w:sz="2" w:space="4" w:color="FFFFFF"/>
        </w:pBdr>
        <w:ind w:right="141"/>
        <w:jc w:val="both"/>
      </w:pPr>
      <w:r>
        <w:tab/>
      </w:r>
      <w:r w:rsidRPr="00A76192">
        <w:t>The Internal Audit Plan for 20</w:t>
      </w:r>
      <w:r w:rsidR="002D5159">
        <w:t>21-2022</w:t>
      </w:r>
      <w:r w:rsidRPr="00A76192">
        <w:t xml:space="preserve"> is based on a resource of </w:t>
      </w:r>
      <w:r w:rsidR="002D5159">
        <w:t>499</w:t>
      </w:r>
      <w:r w:rsidRPr="002D5159">
        <w:rPr>
          <w:bCs/>
        </w:rPr>
        <w:t xml:space="preserve"> audit</w:t>
      </w:r>
      <w:r w:rsidRPr="00A76192">
        <w:t xml:space="preserve"> days</w:t>
      </w:r>
      <w:r w:rsidR="002D5159">
        <w:t>. T</w:t>
      </w:r>
      <w:r w:rsidRPr="00A76192">
        <w:t xml:space="preserve">his </w:t>
      </w:r>
      <w:r>
        <w:tab/>
      </w:r>
      <w:r w:rsidRPr="00A76192">
        <w:t xml:space="preserve">is the number of chargeable days available within the existing budget (after deducting </w:t>
      </w:r>
      <w:r>
        <w:tab/>
      </w:r>
      <w:r w:rsidRPr="00A76192">
        <w:t xml:space="preserve">annual leave </w:t>
      </w:r>
      <w:r>
        <w:t xml:space="preserve">and other non-chargeable time) and includes </w:t>
      </w:r>
      <w:r w:rsidR="002D5159">
        <w:t xml:space="preserve">both in house and bought </w:t>
      </w:r>
      <w:r>
        <w:tab/>
      </w:r>
      <w:r w:rsidR="002D5159">
        <w:t xml:space="preserve">in resource. </w:t>
      </w:r>
    </w:p>
    <w:p w:rsidR="000F292C" w:rsidP="000F292C">
      <w:pPr>
        <w:pStyle w:val="Heading2"/>
      </w:pPr>
      <w:r w:rsidRPr="000F292C">
        <w:rPr>
          <w:rFonts w:asciiTheme="majorHAnsi" w:hAnsiTheme="majorHAnsi" w:cstheme="majorHAnsi"/>
          <w:sz w:val="22"/>
          <w:szCs w:val="22"/>
        </w:rPr>
        <w:t>Reporting to Governance Committee</w:t>
      </w:r>
    </w:p>
    <w:p w:rsidR="000F292C" w:rsidP="00534E48">
      <w:pPr>
        <w:pStyle w:val="ListParagraph"/>
        <w:numPr>
          <w:ilvl w:val="0"/>
          <w:numId w:val="11"/>
        </w:numPr>
        <w:tabs>
          <w:tab w:val="left" w:pos="720"/>
        </w:tabs>
        <w:spacing w:after="0" w:line="240" w:lineRule="auto"/>
        <w:jc w:val="both"/>
      </w:pPr>
      <w:r>
        <w:tab/>
      </w:r>
      <w:r>
        <w:t xml:space="preserve">Currently, the Governance Committee receive quarterly reports from Internal Audit </w:t>
      </w:r>
      <w:r>
        <w:tab/>
      </w:r>
      <w:r>
        <w:t xml:space="preserve">showing progress against the </w:t>
      </w:r>
      <w:r w:rsidR="0099510F">
        <w:t xml:space="preserve">Internal </w:t>
      </w:r>
      <w:r>
        <w:t xml:space="preserve">Audit Plan.   It is proposed to move to reporting </w:t>
      </w:r>
      <w:r>
        <w:tab/>
      </w:r>
      <w:r>
        <w:t>progress 3 times per annum as shown below:</w:t>
      </w:r>
    </w:p>
    <w:p w:rsidR="00653268" w:rsidP="00653268">
      <w:pPr>
        <w:pStyle w:val="ListParagraph"/>
        <w:tabs>
          <w:tab w:val="left" w:pos="720"/>
        </w:tabs>
        <w:spacing w:after="0" w:line="240" w:lineRule="auto"/>
        <w:ind w:left="502"/>
        <w:jc w:val="both"/>
      </w:pPr>
    </w:p>
    <w:p w:rsidR="000F292C" w:rsidP="000F292C">
      <w:pPr>
        <w:tabs>
          <w:tab w:val="left" w:pos="720"/>
        </w:tabs>
        <w:spacing w:after="0" w:line="240" w:lineRule="auto"/>
        <w:jc w:val="both"/>
      </w:pPr>
    </w:p>
    <w:tbl>
      <w:tblPr>
        <w:tblStyle w:val="TableGrid"/>
        <w:tblW w:w="0" w:type="auto"/>
        <w:tblInd w:w="-5" w:type="dxa"/>
        <w:tblLook w:val="04A0"/>
      </w:tblPr>
      <w:tblGrid>
        <w:gridCol w:w="1701"/>
        <w:gridCol w:w="7320"/>
      </w:tblGrid>
      <w:tr w:rsidTr="000F292C">
        <w:tblPrEx>
          <w:tblW w:w="0" w:type="auto"/>
          <w:tblInd w:w="-5" w:type="dxa"/>
          <w:tblLook w:val="04A0"/>
        </w:tblPrEx>
        <w:tc>
          <w:tcPr>
            <w:tcW w:w="1701" w:type="dxa"/>
            <w:shd w:val="clear" w:color="auto" w:fill="B8CCE4" w:themeFill="accent1" w:themeFillTint="66"/>
          </w:tcPr>
          <w:p w:rsidR="000F292C" w:rsidRPr="000F292C" w:rsidP="00C874B2">
            <w:pPr>
              <w:tabs>
                <w:tab w:val="left" w:pos="720"/>
              </w:tabs>
              <w:jc w:val="both"/>
              <w:rPr>
                <w:b/>
                <w:bCs/>
              </w:rPr>
            </w:pPr>
            <w:r w:rsidRPr="000F292C">
              <w:rPr>
                <w:b/>
                <w:bCs/>
              </w:rPr>
              <w:t>Date</w:t>
            </w:r>
          </w:p>
        </w:tc>
        <w:tc>
          <w:tcPr>
            <w:tcW w:w="7320" w:type="dxa"/>
            <w:shd w:val="clear" w:color="auto" w:fill="B8CCE4" w:themeFill="accent1" w:themeFillTint="66"/>
          </w:tcPr>
          <w:p w:rsidR="000F292C" w:rsidRPr="000F292C" w:rsidP="00C874B2">
            <w:pPr>
              <w:tabs>
                <w:tab w:val="left" w:pos="720"/>
              </w:tabs>
              <w:jc w:val="both"/>
              <w:rPr>
                <w:b/>
                <w:bCs/>
              </w:rPr>
            </w:pPr>
            <w:r w:rsidRPr="000F292C">
              <w:rPr>
                <w:b/>
                <w:bCs/>
              </w:rPr>
              <w:t>Report</w:t>
            </w:r>
          </w:p>
        </w:tc>
      </w:tr>
      <w:tr w:rsidTr="000F292C">
        <w:tblPrEx>
          <w:tblW w:w="0" w:type="auto"/>
          <w:tblInd w:w="-5" w:type="dxa"/>
          <w:tblLook w:val="04A0"/>
        </w:tblPrEx>
        <w:tc>
          <w:tcPr>
            <w:tcW w:w="1701" w:type="dxa"/>
          </w:tcPr>
          <w:p w:rsidR="000F292C" w:rsidP="00C874B2">
            <w:pPr>
              <w:tabs>
                <w:tab w:val="left" w:pos="720"/>
              </w:tabs>
              <w:jc w:val="both"/>
            </w:pPr>
            <w:r>
              <w:t>September</w:t>
            </w:r>
          </w:p>
        </w:tc>
        <w:tc>
          <w:tcPr>
            <w:tcW w:w="7320" w:type="dxa"/>
          </w:tcPr>
          <w:p w:rsidR="000F292C" w:rsidP="00C874B2">
            <w:pPr>
              <w:tabs>
                <w:tab w:val="left" w:pos="720"/>
              </w:tabs>
              <w:jc w:val="both"/>
            </w:pPr>
            <w:r>
              <w:t>First progress report covering work completed between April and August.</w:t>
            </w:r>
          </w:p>
          <w:p w:rsidR="000F292C" w:rsidP="00C874B2">
            <w:pPr>
              <w:tabs>
                <w:tab w:val="left" w:pos="720"/>
              </w:tabs>
              <w:jc w:val="both"/>
            </w:pPr>
          </w:p>
        </w:tc>
      </w:tr>
      <w:tr w:rsidTr="000F292C">
        <w:tblPrEx>
          <w:tblW w:w="0" w:type="auto"/>
          <w:tblInd w:w="-5" w:type="dxa"/>
          <w:tblLook w:val="04A0"/>
        </w:tblPrEx>
        <w:tc>
          <w:tcPr>
            <w:tcW w:w="1701" w:type="dxa"/>
          </w:tcPr>
          <w:p w:rsidR="000F292C" w:rsidP="00C874B2">
            <w:pPr>
              <w:tabs>
                <w:tab w:val="left" w:pos="720"/>
              </w:tabs>
              <w:jc w:val="both"/>
            </w:pPr>
            <w:r>
              <w:t xml:space="preserve">January </w:t>
            </w:r>
          </w:p>
        </w:tc>
        <w:tc>
          <w:tcPr>
            <w:tcW w:w="7320" w:type="dxa"/>
          </w:tcPr>
          <w:p w:rsidR="000F292C" w:rsidP="00C874B2">
            <w:pPr>
              <w:tabs>
                <w:tab w:val="left" w:pos="720"/>
              </w:tabs>
              <w:jc w:val="both"/>
            </w:pPr>
            <w:r>
              <w:t>Second progress report covering work completed between September and December</w:t>
            </w:r>
          </w:p>
          <w:p w:rsidR="000F292C" w:rsidP="00C874B2">
            <w:pPr>
              <w:tabs>
                <w:tab w:val="left" w:pos="720"/>
              </w:tabs>
              <w:jc w:val="both"/>
            </w:pPr>
          </w:p>
        </w:tc>
      </w:tr>
      <w:tr w:rsidTr="000F292C">
        <w:tblPrEx>
          <w:tblW w:w="0" w:type="auto"/>
          <w:tblInd w:w="-5" w:type="dxa"/>
          <w:tblLook w:val="04A0"/>
        </w:tblPrEx>
        <w:tc>
          <w:tcPr>
            <w:tcW w:w="1701" w:type="dxa"/>
          </w:tcPr>
          <w:p w:rsidR="000F292C" w:rsidP="00C874B2">
            <w:pPr>
              <w:tabs>
                <w:tab w:val="left" w:pos="720"/>
              </w:tabs>
              <w:jc w:val="both"/>
            </w:pPr>
            <w:r>
              <w:t>May / June</w:t>
            </w:r>
          </w:p>
        </w:tc>
        <w:tc>
          <w:tcPr>
            <w:tcW w:w="7320" w:type="dxa"/>
          </w:tcPr>
          <w:p w:rsidR="000F292C" w:rsidP="00C874B2">
            <w:pPr>
              <w:tabs>
                <w:tab w:val="left" w:pos="720"/>
              </w:tabs>
              <w:jc w:val="both"/>
            </w:pPr>
            <w:r>
              <w:t>Annual report, including all completed work for the year.</w:t>
            </w:r>
          </w:p>
          <w:p w:rsidR="000F292C" w:rsidP="00C874B2">
            <w:pPr>
              <w:tabs>
                <w:tab w:val="left" w:pos="720"/>
              </w:tabs>
              <w:jc w:val="both"/>
            </w:pPr>
          </w:p>
          <w:p w:rsidR="000F292C" w:rsidP="00C874B2">
            <w:pPr>
              <w:tabs>
                <w:tab w:val="left" w:pos="720"/>
              </w:tabs>
              <w:jc w:val="both"/>
            </w:pPr>
            <w:r>
              <w:t>(NB – for the year 20-21, due to COVID impacting upon the work of internal audit during 19-20, a report will be provided of the progress of key quarter one reviews at the meeting in May 2021)</w:t>
            </w:r>
          </w:p>
          <w:p w:rsidR="000F292C" w:rsidP="00C874B2">
            <w:pPr>
              <w:tabs>
                <w:tab w:val="left" w:pos="720"/>
              </w:tabs>
              <w:jc w:val="both"/>
            </w:pPr>
          </w:p>
        </w:tc>
      </w:tr>
    </w:tbl>
    <w:p w:rsidR="000F292C" w:rsidP="000F292C">
      <w:pPr>
        <w:tabs>
          <w:tab w:val="left" w:pos="720"/>
        </w:tabs>
        <w:ind w:left="720"/>
        <w:jc w:val="both"/>
      </w:pPr>
    </w:p>
    <w:p w:rsidR="007839F8" w:rsidP="007839F8">
      <w:pPr>
        <w:pStyle w:val="ListParagraph"/>
        <w:numPr>
          <w:ilvl w:val="0"/>
          <w:numId w:val="28"/>
        </w:numPr>
        <w:tabs>
          <w:tab w:val="left" w:pos="720"/>
        </w:tabs>
        <w:ind w:left="709" w:hanging="567"/>
        <w:jc w:val="both"/>
      </w:pPr>
      <w:r>
        <w:t>In addition to the above reporting regime, any Internal Audit Reports with a limited assurance rating will be issued to all members of the committee once the review has been finalised.</w:t>
      </w:r>
    </w:p>
    <w:p w:rsidR="00A77C8F" w:rsidRPr="00A77C8F" w:rsidP="00A77C8F">
      <w:pPr>
        <w:pStyle w:val="Heading2"/>
        <w:rPr>
          <w:rFonts w:asciiTheme="majorHAnsi" w:hAnsiTheme="majorHAnsi" w:cstheme="majorHAnsi"/>
          <w:sz w:val="22"/>
          <w:szCs w:val="22"/>
        </w:rPr>
      </w:pPr>
      <w:r w:rsidRPr="00A77C8F">
        <w:rPr>
          <w:rFonts w:asciiTheme="majorHAnsi" w:hAnsiTheme="majorHAnsi" w:cstheme="majorHAnsi"/>
          <w:sz w:val="22"/>
          <w:szCs w:val="22"/>
        </w:rPr>
        <w:t>I</w:t>
      </w:r>
      <w:r w:rsidR="000F292C">
        <w:rPr>
          <w:rFonts w:asciiTheme="majorHAnsi" w:hAnsiTheme="majorHAnsi" w:cstheme="majorHAnsi"/>
          <w:sz w:val="22"/>
          <w:szCs w:val="22"/>
        </w:rPr>
        <w:t>nternal Audit Performance Indicators</w:t>
      </w:r>
    </w:p>
    <w:p w:rsidR="00A77C8F" w:rsidP="007839F8">
      <w:pPr>
        <w:pStyle w:val="ListParagraph"/>
        <w:numPr>
          <w:ilvl w:val="0"/>
          <w:numId w:val="29"/>
        </w:numPr>
        <w:autoSpaceDE w:val="0"/>
        <w:autoSpaceDN w:val="0"/>
        <w:adjustRightInd w:val="0"/>
        <w:spacing w:after="0" w:line="240" w:lineRule="auto"/>
        <w:rPr>
          <w:rFonts w:cstheme="minorHAnsi"/>
        </w:rPr>
      </w:pPr>
      <w:r>
        <w:rPr>
          <w:rFonts w:cstheme="minorHAnsi"/>
        </w:rPr>
        <w:tab/>
      </w:r>
      <w:r w:rsidRPr="00A77C8F">
        <w:rPr>
          <w:rFonts w:cstheme="minorHAnsi"/>
        </w:rPr>
        <w:t xml:space="preserve">Following a review of the performance measures and targets maintained by Internal </w:t>
      </w:r>
      <w:r>
        <w:rPr>
          <w:rFonts w:cstheme="minorHAnsi"/>
        </w:rPr>
        <w:tab/>
      </w:r>
      <w:r w:rsidRPr="00A77C8F">
        <w:rPr>
          <w:rFonts w:cstheme="minorHAnsi"/>
        </w:rPr>
        <w:t>Audit, it is proposed that the following indicators listed below are reported</w:t>
      </w:r>
      <w:r w:rsidR="000F292C">
        <w:rPr>
          <w:rFonts w:cstheme="minorHAnsi"/>
        </w:rPr>
        <w:t xml:space="preserve"> to the </w:t>
      </w:r>
      <w:r>
        <w:rPr>
          <w:rFonts w:cstheme="minorHAnsi"/>
        </w:rPr>
        <w:tab/>
      </w:r>
      <w:r w:rsidR="000F292C">
        <w:rPr>
          <w:rFonts w:cstheme="minorHAnsi"/>
        </w:rPr>
        <w:t>Governance Committee</w:t>
      </w:r>
      <w:r w:rsidR="00693177">
        <w:rPr>
          <w:rFonts w:cstheme="minorHAnsi"/>
        </w:rPr>
        <w:t xml:space="preserve"> and will be included in the progress reports</w:t>
      </w:r>
      <w:r w:rsidR="000F292C">
        <w:rPr>
          <w:rFonts w:cstheme="minorHAnsi"/>
        </w:rPr>
        <w:t xml:space="preserve"> </w:t>
      </w:r>
      <w:r w:rsidRPr="00A77C8F">
        <w:rPr>
          <w:rFonts w:cstheme="minorHAnsi"/>
        </w:rPr>
        <w:t>for 20</w:t>
      </w:r>
      <w:r w:rsidR="000F292C">
        <w:rPr>
          <w:rFonts w:cstheme="minorHAnsi"/>
        </w:rPr>
        <w:t>21/2022</w:t>
      </w:r>
      <w:r w:rsidRPr="00A77C8F">
        <w:rPr>
          <w:rFonts w:cstheme="minorHAnsi"/>
        </w:rPr>
        <w:t xml:space="preserve"> </w:t>
      </w:r>
      <w:r>
        <w:rPr>
          <w:rFonts w:cstheme="minorHAnsi"/>
        </w:rPr>
        <w:tab/>
      </w:r>
      <w:r w:rsidRPr="00A77C8F">
        <w:rPr>
          <w:rFonts w:cstheme="minorHAnsi"/>
        </w:rPr>
        <w:t>onwards.</w:t>
      </w:r>
    </w:p>
    <w:p w:rsidR="007411A1" w:rsidP="007411A1">
      <w:pPr>
        <w:pStyle w:val="ListParagraph"/>
        <w:autoSpaceDE w:val="0"/>
        <w:autoSpaceDN w:val="0"/>
        <w:adjustRightInd w:val="0"/>
        <w:spacing w:after="0" w:line="240" w:lineRule="auto"/>
        <w:ind w:left="502"/>
        <w:rPr>
          <w:rFonts w:cstheme="minorHAnsi"/>
        </w:rPr>
      </w:pPr>
    </w:p>
    <w:p w:rsidR="000F292C" w:rsidP="000F292C">
      <w:pPr>
        <w:autoSpaceDE w:val="0"/>
        <w:autoSpaceDN w:val="0"/>
        <w:adjustRightInd w:val="0"/>
        <w:spacing w:after="0" w:line="240" w:lineRule="auto"/>
        <w:rPr>
          <w:rFonts w:cstheme="minorHAnsi"/>
        </w:rPr>
      </w:pPr>
    </w:p>
    <w:tbl>
      <w:tblPr>
        <w:tblStyle w:val="TableGrid"/>
        <w:tblW w:w="0" w:type="auto"/>
        <w:tblLook w:val="04A0"/>
      </w:tblPr>
      <w:tblGrid>
        <w:gridCol w:w="6799"/>
        <w:gridCol w:w="2127"/>
      </w:tblGrid>
      <w:tr w:rsidTr="0099510F">
        <w:tblPrEx>
          <w:tblW w:w="0" w:type="auto"/>
          <w:tblLook w:val="04A0"/>
        </w:tblPrEx>
        <w:tc>
          <w:tcPr>
            <w:tcW w:w="6799" w:type="dxa"/>
            <w:shd w:val="clear" w:color="auto" w:fill="B8CCE4" w:themeFill="accent1" w:themeFillTint="66"/>
          </w:tcPr>
          <w:p w:rsidR="0099510F" w:rsidRPr="0099510F" w:rsidP="000F292C">
            <w:pPr>
              <w:autoSpaceDE w:val="0"/>
              <w:autoSpaceDN w:val="0"/>
              <w:adjustRightInd w:val="0"/>
              <w:rPr>
                <w:rFonts w:cstheme="minorHAnsi"/>
                <w:b/>
                <w:bCs/>
              </w:rPr>
            </w:pPr>
            <w:r w:rsidRPr="0099510F">
              <w:rPr>
                <w:rFonts w:cstheme="minorHAnsi"/>
                <w:b/>
                <w:bCs/>
              </w:rPr>
              <w:t>Performance Indicator</w:t>
            </w:r>
          </w:p>
        </w:tc>
        <w:tc>
          <w:tcPr>
            <w:tcW w:w="2127" w:type="dxa"/>
            <w:shd w:val="clear" w:color="auto" w:fill="B8CCE4" w:themeFill="accent1" w:themeFillTint="66"/>
          </w:tcPr>
          <w:p w:rsidR="0099510F" w:rsidRPr="0099510F" w:rsidP="000F292C">
            <w:pPr>
              <w:autoSpaceDE w:val="0"/>
              <w:autoSpaceDN w:val="0"/>
              <w:adjustRightInd w:val="0"/>
              <w:rPr>
                <w:rFonts w:cstheme="minorHAnsi"/>
                <w:b/>
                <w:bCs/>
              </w:rPr>
            </w:pPr>
            <w:r w:rsidRPr="0099510F">
              <w:rPr>
                <w:rFonts w:cstheme="minorHAnsi"/>
                <w:b/>
                <w:bCs/>
              </w:rPr>
              <w:t>Target</w:t>
            </w:r>
          </w:p>
        </w:tc>
      </w:tr>
      <w:tr w:rsidTr="0099510F">
        <w:tblPrEx>
          <w:tblW w:w="0" w:type="auto"/>
          <w:tblLook w:val="04A0"/>
        </w:tblPrEx>
        <w:tc>
          <w:tcPr>
            <w:tcW w:w="6799" w:type="dxa"/>
          </w:tcPr>
          <w:p w:rsidR="0099510F" w:rsidP="000F292C">
            <w:pPr>
              <w:autoSpaceDE w:val="0"/>
              <w:autoSpaceDN w:val="0"/>
              <w:adjustRightInd w:val="0"/>
              <w:rPr>
                <w:rFonts w:cstheme="minorHAnsi"/>
              </w:rPr>
            </w:pPr>
            <w:r w:rsidRPr="00A77C8F">
              <w:rPr>
                <w:rFonts w:cstheme="minorHAnsi"/>
              </w:rPr>
              <w:t xml:space="preserve">% of Planned time used </w:t>
            </w:r>
          </w:p>
        </w:tc>
        <w:tc>
          <w:tcPr>
            <w:tcW w:w="2127" w:type="dxa"/>
          </w:tcPr>
          <w:p w:rsidR="0099510F" w:rsidP="000F292C">
            <w:pPr>
              <w:autoSpaceDE w:val="0"/>
              <w:autoSpaceDN w:val="0"/>
              <w:adjustRightInd w:val="0"/>
              <w:rPr>
                <w:rFonts w:cstheme="minorHAnsi"/>
              </w:rPr>
            </w:pPr>
            <w:r>
              <w:rPr>
                <w:rFonts w:cstheme="minorHAnsi"/>
              </w:rPr>
              <w:t>90%</w:t>
            </w:r>
          </w:p>
        </w:tc>
      </w:tr>
      <w:tr w:rsidTr="0099510F">
        <w:tblPrEx>
          <w:tblW w:w="0" w:type="auto"/>
          <w:tblLook w:val="04A0"/>
        </w:tblPrEx>
        <w:tc>
          <w:tcPr>
            <w:tcW w:w="6799" w:type="dxa"/>
          </w:tcPr>
          <w:p w:rsidR="0099510F" w:rsidP="000F292C">
            <w:pPr>
              <w:autoSpaceDE w:val="0"/>
              <w:autoSpaceDN w:val="0"/>
              <w:adjustRightInd w:val="0"/>
              <w:rPr>
                <w:rFonts w:cstheme="minorHAnsi"/>
              </w:rPr>
            </w:pPr>
            <w:r w:rsidRPr="00A77C8F">
              <w:rPr>
                <w:rFonts w:cstheme="minorHAnsi"/>
              </w:rPr>
              <w:t xml:space="preserve">% of Audit Plan completed </w:t>
            </w:r>
          </w:p>
        </w:tc>
        <w:tc>
          <w:tcPr>
            <w:tcW w:w="2127" w:type="dxa"/>
          </w:tcPr>
          <w:p w:rsidR="0099510F" w:rsidP="000F292C">
            <w:pPr>
              <w:autoSpaceDE w:val="0"/>
              <w:autoSpaceDN w:val="0"/>
              <w:adjustRightInd w:val="0"/>
              <w:rPr>
                <w:rFonts w:cstheme="minorHAnsi"/>
              </w:rPr>
            </w:pPr>
            <w:r>
              <w:rPr>
                <w:rFonts w:cstheme="minorHAnsi"/>
              </w:rPr>
              <w:t>90%</w:t>
            </w:r>
          </w:p>
        </w:tc>
      </w:tr>
      <w:tr w:rsidTr="0099510F">
        <w:tblPrEx>
          <w:tblW w:w="0" w:type="auto"/>
          <w:tblLook w:val="04A0"/>
        </w:tblPrEx>
        <w:tc>
          <w:tcPr>
            <w:tcW w:w="6799" w:type="dxa"/>
          </w:tcPr>
          <w:p w:rsidR="0099510F" w:rsidP="000F292C">
            <w:pPr>
              <w:autoSpaceDE w:val="0"/>
              <w:autoSpaceDN w:val="0"/>
              <w:adjustRightInd w:val="0"/>
              <w:rPr>
                <w:rFonts w:cstheme="minorHAnsi"/>
              </w:rPr>
            </w:pPr>
            <w:r w:rsidRPr="00A77C8F">
              <w:rPr>
                <w:rFonts w:cstheme="minorHAnsi"/>
              </w:rPr>
              <w:t>% satisfaction rating (assignm</w:t>
            </w:r>
            <w:r>
              <w:rPr>
                <w:rFonts w:cstheme="minorHAnsi"/>
              </w:rPr>
              <w:t>ent level)</w:t>
            </w:r>
          </w:p>
        </w:tc>
        <w:tc>
          <w:tcPr>
            <w:tcW w:w="2127" w:type="dxa"/>
          </w:tcPr>
          <w:p w:rsidR="0099510F" w:rsidP="000F292C">
            <w:pPr>
              <w:autoSpaceDE w:val="0"/>
              <w:autoSpaceDN w:val="0"/>
              <w:adjustRightInd w:val="0"/>
              <w:rPr>
                <w:rFonts w:cstheme="minorHAnsi"/>
              </w:rPr>
            </w:pPr>
            <w:r>
              <w:rPr>
                <w:rFonts w:cstheme="minorHAnsi"/>
              </w:rPr>
              <w:t>90%</w:t>
            </w:r>
          </w:p>
        </w:tc>
      </w:tr>
      <w:tr w:rsidTr="0099510F">
        <w:tblPrEx>
          <w:tblW w:w="0" w:type="auto"/>
          <w:tblLook w:val="04A0"/>
        </w:tblPrEx>
        <w:tc>
          <w:tcPr>
            <w:tcW w:w="6799" w:type="dxa"/>
          </w:tcPr>
          <w:p w:rsidR="0099510F" w:rsidRPr="00A77C8F" w:rsidP="000F292C">
            <w:pPr>
              <w:autoSpaceDE w:val="0"/>
              <w:autoSpaceDN w:val="0"/>
              <w:adjustRightInd w:val="0"/>
              <w:rPr>
                <w:rFonts w:cstheme="minorHAnsi"/>
              </w:rPr>
            </w:pPr>
            <w:r w:rsidRPr="00A77C8F">
              <w:rPr>
                <w:rFonts w:cstheme="minorHAnsi"/>
              </w:rPr>
              <w:t>% of agreed actions implemented by management</w:t>
            </w:r>
          </w:p>
          <w:p w:rsidR="0099510F" w:rsidP="000F292C">
            <w:pPr>
              <w:autoSpaceDE w:val="0"/>
              <w:autoSpaceDN w:val="0"/>
              <w:adjustRightInd w:val="0"/>
              <w:rPr>
                <w:rFonts w:cstheme="minorHAnsi"/>
              </w:rPr>
            </w:pPr>
          </w:p>
        </w:tc>
        <w:tc>
          <w:tcPr>
            <w:tcW w:w="2127" w:type="dxa"/>
          </w:tcPr>
          <w:p w:rsidR="0099510F" w:rsidP="000F292C">
            <w:pPr>
              <w:autoSpaceDE w:val="0"/>
              <w:autoSpaceDN w:val="0"/>
              <w:adjustRightInd w:val="0"/>
              <w:rPr>
                <w:rFonts w:cstheme="minorHAnsi"/>
              </w:rPr>
            </w:pPr>
            <w:r>
              <w:rPr>
                <w:rFonts w:cstheme="minorHAnsi"/>
              </w:rPr>
              <w:t>90%</w:t>
            </w:r>
          </w:p>
        </w:tc>
      </w:tr>
    </w:tbl>
    <w:p w:rsidR="000F292C" w:rsidP="000F292C">
      <w:pPr>
        <w:autoSpaceDE w:val="0"/>
        <w:autoSpaceDN w:val="0"/>
        <w:adjustRightInd w:val="0"/>
        <w:spacing w:after="0" w:line="240" w:lineRule="auto"/>
        <w:rPr>
          <w:rFonts w:cstheme="minorHAnsi"/>
        </w:rPr>
      </w:pPr>
    </w:p>
    <w:p w:rsidR="000F292C" w:rsidP="00A77C8F">
      <w:pPr>
        <w:autoSpaceDE w:val="0"/>
        <w:autoSpaceDN w:val="0"/>
        <w:adjustRightInd w:val="0"/>
        <w:spacing w:after="0" w:line="240" w:lineRule="auto"/>
        <w:rPr>
          <w:rFonts w:cstheme="minorHAnsi"/>
          <w:b/>
          <w:bCs/>
        </w:rPr>
      </w:pPr>
    </w:p>
    <w:p w:rsidR="00A77C8F" w:rsidP="00A77C8F">
      <w:pPr>
        <w:autoSpaceDE w:val="0"/>
        <w:autoSpaceDN w:val="0"/>
        <w:adjustRightInd w:val="0"/>
        <w:spacing w:after="0" w:line="240" w:lineRule="auto"/>
        <w:rPr>
          <w:rFonts w:cstheme="minorHAnsi"/>
          <w:b/>
          <w:bCs/>
        </w:rPr>
      </w:pPr>
      <w:r w:rsidRPr="00A77C8F">
        <w:rPr>
          <w:rFonts w:cstheme="minorHAnsi"/>
          <w:b/>
          <w:bCs/>
        </w:rPr>
        <w:t>I</w:t>
      </w:r>
      <w:r w:rsidR="0099510F">
        <w:rPr>
          <w:rFonts w:cstheme="minorHAnsi"/>
          <w:b/>
          <w:bCs/>
        </w:rPr>
        <w:t>nternal Audit Charter</w:t>
      </w:r>
    </w:p>
    <w:p w:rsidR="000F292C" w:rsidP="00A77C8F">
      <w:pPr>
        <w:autoSpaceDE w:val="0"/>
        <w:autoSpaceDN w:val="0"/>
        <w:adjustRightInd w:val="0"/>
        <w:spacing w:after="0" w:line="240" w:lineRule="auto"/>
        <w:rPr>
          <w:rFonts w:cstheme="minorHAnsi"/>
          <w:b/>
          <w:bCs/>
        </w:rPr>
      </w:pPr>
    </w:p>
    <w:p w:rsidR="00A77C8F" w:rsidRPr="000F292C" w:rsidP="007839F8">
      <w:pPr>
        <w:pStyle w:val="ListParagraph"/>
        <w:numPr>
          <w:ilvl w:val="0"/>
          <w:numId w:val="29"/>
        </w:numPr>
        <w:autoSpaceDE w:val="0"/>
        <w:autoSpaceDN w:val="0"/>
        <w:adjustRightInd w:val="0"/>
        <w:spacing w:after="0" w:line="240" w:lineRule="auto"/>
        <w:rPr>
          <w:rFonts w:cstheme="minorHAnsi"/>
        </w:rPr>
      </w:pPr>
      <w:r>
        <w:rPr>
          <w:rFonts w:cstheme="minorHAnsi"/>
        </w:rPr>
        <w:tab/>
      </w:r>
      <w:r w:rsidR="000F292C">
        <w:rPr>
          <w:rFonts w:cstheme="minorHAnsi"/>
        </w:rPr>
        <w:t>F</w:t>
      </w:r>
      <w:r w:rsidRPr="000F292C">
        <w:rPr>
          <w:rFonts w:cstheme="minorHAnsi"/>
        </w:rPr>
        <w:t>rom 1st April 2013, the CIPFA Code of Practice for Internal Audit in Local</w:t>
      </w:r>
    </w:p>
    <w:p w:rsidR="0099510F" w:rsidP="00A77C8F">
      <w:pPr>
        <w:autoSpaceDE w:val="0"/>
        <w:autoSpaceDN w:val="0"/>
        <w:adjustRightInd w:val="0"/>
        <w:spacing w:after="0" w:line="240" w:lineRule="auto"/>
        <w:rPr>
          <w:rFonts w:cstheme="minorHAnsi"/>
        </w:rPr>
      </w:pPr>
      <w:r>
        <w:rPr>
          <w:rFonts w:cstheme="minorHAnsi"/>
        </w:rPr>
        <w:tab/>
      </w:r>
      <w:r w:rsidRPr="00A77C8F" w:rsidR="00A77C8F">
        <w:rPr>
          <w:rFonts w:cstheme="minorHAnsi"/>
        </w:rPr>
        <w:t xml:space="preserve">Government 2006 was replaced by new UK Public Sector Internal Audit Standards </w:t>
      </w:r>
      <w:r>
        <w:rPr>
          <w:rFonts w:cstheme="minorHAnsi"/>
        </w:rPr>
        <w:tab/>
      </w:r>
      <w:r w:rsidRPr="00A77C8F" w:rsidR="00A77C8F">
        <w:rPr>
          <w:rFonts w:cstheme="minorHAnsi"/>
        </w:rPr>
        <w:t>(PSIAS).</w:t>
      </w:r>
      <w:r>
        <w:rPr>
          <w:rFonts w:cstheme="minorHAnsi"/>
        </w:rPr>
        <w:t xml:space="preserve">  </w:t>
      </w:r>
      <w:r w:rsidRPr="00A77C8F" w:rsidR="00A77C8F">
        <w:rPr>
          <w:rFonts w:cstheme="minorHAnsi"/>
        </w:rPr>
        <w:t>The Attribute Standard of the PSIAS “</w:t>
      </w:r>
      <w:r w:rsidRPr="00A77C8F" w:rsidR="00A77C8F">
        <w:rPr>
          <w:rFonts w:cstheme="minorHAnsi"/>
          <w:i/>
          <w:iCs/>
        </w:rPr>
        <w:t xml:space="preserve">Purpose, Authority and </w:t>
      </w:r>
      <w:r w:rsidR="003C05B8">
        <w:rPr>
          <w:rFonts w:cstheme="minorHAnsi"/>
          <w:i/>
          <w:iCs/>
        </w:rPr>
        <w:t>r</w:t>
      </w:r>
      <w:r w:rsidRPr="00A77C8F" w:rsidR="00A77C8F">
        <w:rPr>
          <w:rFonts w:cstheme="minorHAnsi"/>
          <w:i/>
          <w:iCs/>
        </w:rPr>
        <w:t>esponsibility</w:t>
      </w:r>
      <w:r w:rsidRPr="00A77C8F" w:rsidR="00A77C8F">
        <w:rPr>
          <w:rFonts w:cstheme="minorHAnsi"/>
        </w:rPr>
        <w:t xml:space="preserve">” </w:t>
      </w:r>
      <w:r>
        <w:rPr>
          <w:rFonts w:cstheme="minorHAnsi"/>
        </w:rPr>
        <w:tab/>
      </w:r>
      <w:r w:rsidRPr="00A77C8F" w:rsidR="00A77C8F">
        <w:rPr>
          <w:rFonts w:cstheme="minorHAnsi"/>
        </w:rPr>
        <w:t>specifically requires the</w:t>
      </w:r>
      <w:r>
        <w:rPr>
          <w:rFonts w:cstheme="minorHAnsi"/>
        </w:rPr>
        <w:t xml:space="preserve"> </w:t>
      </w:r>
      <w:r w:rsidRPr="00A77C8F" w:rsidR="00A77C8F">
        <w:rPr>
          <w:rFonts w:cstheme="minorHAnsi"/>
        </w:rPr>
        <w:t xml:space="preserve">production of an Internal Audit Charter and for it to be </w:t>
      </w:r>
      <w:r>
        <w:rPr>
          <w:rFonts w:cstheme="minorHAnsi"/>
        </w:rPr>
        <w:tab/>
      </w:r>
      <w:r w:rsidRPr="00A77C8F" w:rsidR="00A77C8F">
        <w:rPr>
          <w:rFonts w:cstheme="minorHAnsi"/>
        </w:rPr>
        <w:t>periodically reviewed. The Charter</w:t>
      </w:r>
      <w:r w:rsidR="00330F39">
        <w:rPr>
          <w:rFonts w:cstheme="minorHAnsi"/>
        </w:rPr>
        <w:t xml:space="preserve"> was last reviewed </w:t>
      </w:r>
      <w:r w:rsidR="00E36788">
        <w:rPr>
          <w:rFonts w:cstheme="minorHAnsi"/>
        </w:rPr>
        <w:t>in April</w:t>
      </w:r>
      <w:r w:rsidR="00653268">
        <w:rPr>
          <w:rFonts w:cstheme="minorHAnsi"/>
        </w:rPr>
        <w:t xml:space="preserve"> 2018</w:t>
      </w:r>
      <w:r w:rsidRPr="00A77C8F" w:rsidR="00A77C8F">
        <w:rPr>
          <w:rFonts w:cstheme="minorHAnsi"/>
        </w:rPr>
        <w:t xml:space="preserve"> and so it is</w:t>
      </w:r>
      <w:r>
        <w:rPr>
          <w:rFonts w:cstheme="minorHAnsi"/>
        </w:rPr>
        <w:t xml:space="preserve"> </w:t>
      </w:r>
      <w:r w:rsidRPr="00A77C8F" w:rsidR="00A77C8F">
        <w:rPr>
          <w:rFonts w:cstheme="minorHAnsi"/>
        </w:rPr>
        <w:t xml:space="preserve">now </w:t>
      </w:r>
      <w:r w:rsidR="00330F39">
        <w:rPr>
          <w:rFonts w:cstheme="minorHAnsi"/>
        </w:rPr>
        <w:tab/>
      </w:r>
      <w:r w:rsidRPr="00A77C8F" w:rsidR="00A77C8F">
        <w:rPr>
          <w:rFonts w:cstheme="minorHAnsi"/>
        </w:rPr>
        <w:t xml:space="preserve">appropriate for it to be reviewed to ensure it is fit for purpose and compliant with the </w:t>
      </w:r>
      <w:r w:rsidR="00330F39">
        <w:rPr>
          <w:rFonts w:cstheme="minorHAnsi"/>
        </w:rPr>
        <w:tab/>
      </w:r>
      <w:r w:rsidRPr="00A77C8F" w:rsidR="00A77C8F">
        <w:rPr>
          <w:rFonts w:cstheme="minorHAnsi"/>
        </w:rPr>
        <w:t xml:space="preserve">PSIAS. </w:t>
      </w:r>
    </w:p>
    <w:p w:rsidR="0099510F" w:rsidP="00A77C8F">
      <w:pPr>
        <w:autoSpaceDE w:val="0"/>
        <w:autoSpaceDN w:val="0"/>
        <w:adjustRightInd w:val="0"/>
        <w:spacing w:after="0" w:line="240" w:lineRule="auto"/>
        <w:rPr>
          <w:rFonts w:cstheme="minorHAnsi"/>
        </w:rPr>
      </w:pPr>
    </w:p>
    <w:p w:rsidR="0099510F" w:rsidRPr="0099510F" w:rsidP="007839F8">
      <w:pPr>
        <w:pStyle w:val="ListParagraph"/>
        <w:numPr>
          <w:ilvl w:val="0"/>
          <w:numId w:val="29"/>
        </w:numPr>
        <w:autoSpaceDE w:val="0"/>
        <w:autoSpaceDN w:val="0"/>
        <w:adjustRightInd w:val="0"/>
        <w:spacing w:after="0" w:line="240" w:lineRule="auto"/>
        <w:rPr>
          <w:rFonts w:cstheme="minorHAnsi"/>
          <w:bCs/>
          <w:i/>
        </w:rPr>
      </w:pPr>
      <w:r>
        <w:rPr>
          <w:rFonts w:cstheme="minorHAnsi"/>
        </w:rPr>
        <w:tab/>
      </w:r>
      <w:r w:rsidRPr="0099510F" w:rsidR="00A77C8F">
        <w:rPr>
          <w:rFonts w:cstheme="minorHAnsi"/>
        </w:rPr>
        <w:t>The</w:t>
      </w:r>
      <w:r w:rsidRPr="0099510F">
        <w:rPr>
          <w:rFonts w:cstheme="minorHAnsi"/>
        </w:rPr>
        <w:t xml:space="preserve"> </w:t>
      </w:r>
      <w:r w:rsidRPr="0099510F" w:rsidR="00A77C8F">
        <w:rPr>
          <w:rFonts w:cstheme="minorHAnsi"/>
        </w:rPr>
        <w:t xml:space="preserve">reviewed Internal Audit Charter is included at </w:t>
      </w:r>
      <w:r w:rsidRPr="0099510F" w:rsidR="00A77C8F">
        <w:rPr>
          <w:rFonts w:cstheme="minorHAnsi"/>
          <w:b/>
          <w:bCs/>
        </w:rPr>
        <w:t xml:space="preserve">Appendix </w:t>
      </w:r>
      <w:r>
        <w:rPr>
          <w:rFonts w:cstheme="minorHAnsi"/>
          <w:b/>
          <w:bCs/>
        </w:rPr>
        <w:t>B</w:t>
      </w:r>
      <w:r w:rsidRPr="0099510F" w:rsidR="00A77C8F">
        <w:rPr>
          <w:rFonts w:cstheme="minorHAnsi"/>
        </w:rPr>
        <w:t xml:space="preserve">. </w:t>
      </w:r>
    </w:p>
    <w:p w:rsidR="0099510F" w:rsidP="0099510F">
      <w:pPr>
        <w:autoSpaceDE w:val="0"/>
        <w:autoSpaceDN w:val="0"/>
        <w:adjustRightInd w:val="0"/>
        <w:spacing w:after="0" w:line="240" w:lineRule="auto"/>
        <w:rPr>
          <w:rFonts w:cstheme="minorHAnsi"/>
          <w:bCs/>
          <w:i/>
        </w:rPr>
      </w:pPr>
    </w:p>
    <w:p w:rsidR="0099510F" w:rsidRPr="00437CCE" w:rsidP="00437CCE">
      <w:pPr>
        <w:pStyle w:val="Heading2"/>
        <w:rPr>
          <w:rFonts w:asciiTheme="minorHAnsi" w:hAnsiTheme="minorHAnsi" w:cstheme="minorHAnsi"/>
          <w:sz w:val="22"/>
          <w:szCs w:val="22"/>
        </w:rPr>
      </w:pPr>
      <w:r w:rsidRPr="00437CCE">
        <w:rPr>
          <w:rFonts w:asciiTheme="minorHAnsi" w:hAnsiTheme="minorHAnsi" w:cstheme="minorHAnsi"/>
          <w:sz w:val="22"/>
          <w:szCs w:val="22"/>
        </w:rPr>
        <w:t xml:space="preserve">Internal Audit Annual </w:t>
      </w:r>
      <w:r w:rsidR="00693177">
        <w:rPr>
          <w:rFonts w:asciiTheme="minorHAnsi" w:hAnsiTheme="minorHAnsi" w:cstheme="minorHAnsi"/>
          <w:sz w:val="22"/>
          <w:szCs w:val="22"/>
        </w:rPr>
        <w:t>R</w:t>
      </w:r>
      <w:r w:rsidR="003C05B8">
        <w:rPr>
          <w:rFonts w:asciiTheme="minorHAnsi" w:hAnsiTheme="minorHAnsi" w:cstheme="minorHAnsi"/>
          <w:sz w:val="22"/>
          <w:szCs w:val="22"/>
        </w:rPr>
        <w:t xml:space="preserve">eport and </w:t>
      </w:r>
      <w:r w:rsidRPr="00437CCE">
        <w:rPr>
          <w:rFonts w:asciiTheme="minorHAnsi" w:hAnsiTheme="minorHAnsi" w:cstheme="minorHAnsi"/>
          <w:sz w:val="22"/>
          <w:szCs w:val="22"/>
        </w:rPr>
        <w:t xml:space="preserve">Opinion </w:t>
      </w:r>
      <w:r w:rsidR="003C05B8">
        <w:rPr>
          <w:rFonts w:asciiTheme="minorHAnsi" w:hAnsiTheme="minorHAnsi" w:cstheme="minorHAnsi"/>
          <w:sz w:val="22"/>
          <w:szCs w:val="22"/>
        </w:rPr>
        <w:t>20/21</w:t>
      </w:r>
    </w:p>
    <w:p w:rsidR="00437CCE" w:rsidRPr="00297512" w:rsidP="007839F8">
      <w:pPr>
        <w:pStyle w:val="ListParagraph"/>
        <w:numPr>
          <w:ilvl w:val="0"/>
          <w:numId w:val="29"/>
        </w:numPr>
        <w:autoSpaceDE w:val="0"/>
        <w:autoSpaceDN w:val="0"/>
        <w:adjustRightInd w:val="0"/>
        <w:spacing w:after="0" w:line="240" w:lineRule="auto"/>
        <w:rPr>
          <w:rFonts w:ascii="Calibri" w:hAnsi="Calibri" w:cs="Calibri"/>
        </w:rPr>
      </w:pPr>
      <w:r>
        <w:rPr>
          <w:rFonts w:cstheme="minorHAnsi"/>
        </w:rPr>
        <w:tab/>
      </w:r>
      <w:r w:rsidRPr="00437CCE">
        <w:rPr>
          <w:rFonts w:cstheme="minorHAnsi"/>
        </w:rPr>
        <w:t xml:space="preserve">The production of an annual report including an annual opinion </w:t>
      </w:r>
      <w:r w:rsidR="00297512">
        <w:rPr>
          <w:rFonts w:cstheme="minorHAnsi"/>
        </w:rPr>
        <w:t xml:space="preserve">on the adequacy and </w:t>
      </w:r>
      <w:r>
        <w:rPr>
          <w:rFonts w:cstheme="minorHAnsi"/>
        </w:rPr>
        <w:tab/>
      </w:r>
      <w:r w:rsidR="00297512">
        <w:rPr>
          <w:rFonts w:cstheme="minorHAnsi"/>
        </w:rPr>
        <w:t xml:space="preserve">effectiveness </w:t>
      </w:r>
      <w:r w:rsidRPr="00437CCE">
        <w:rPr>
          <w:rFonts w:cstheme="minorHAnsi"/>
        </w:rPr>
        <w:t xml:space="preserve">of </w:t>
      </w:r>
      <w:r w:rsidR="00297512">
        <w:rPr>
          <w:rFonts w:cstheme="minorHAnsi"/>
        </w:rPr>
        <w:t xml:space="preserve">the organisation’s framework of </w:t>
      </w:r>
      <w:r w:rsidRPr="00437CCE">
        <w:rPr>
          <w:rFonts w:cstheme="minorHAnsi"/>
        </w:rPr>
        <w:t xml:space="preserve">internal control, governance and risk </w:t>
      </w:r>
      <w:r>
        <w:rPr>
          <w:rFonts w:cstheme="minorHAnsi"/>
        </w:rPr>
        <w:tab/>
      </w:r>
      <w:r w:rsidRPr="00437CCE">
        <w:rPr>
          <w:rFonts w:cstheme="minorHAnsi"/>
        </w:rPr>
        <w:t xml:space="preserve">management is a requirement of the Public Sector Internal Audit Standards. </w:t>
      </w:r>
    </w:p>
    <w:p w:rsidR="00297512" w:rsidP="00297512">
      <w:pPr>
        <w:pStyle w:val="ListParagraph"/>
        <w:autoSpaceDE w:val="0"/>
        <w:autoSpaceDN w:val="0"/>
        <w:adjustRightInd w:val="0"/>
        <w:spacing w:after="0" w:line="240" w:lineRule="auto"/>
        <w:ind w:left="502"/>
        <w:rPr>
          <w:rFonts w:ascii="Calibri" w:hAnsi="Calibri" w:cs="Calibri"/>
        </w:rPr>
      </w:pPr>
    </w:p>
    <w:p w:rsidR="00437CCE" w:rsidRPr="009D1353" w:rsidP="007839F8">
      <w:pPr>
        <w:pStyle w:val="ListParagraph"/>
        <w:numPr>
          <w:ilvl w:val="0"/>
          <w:numId w:val="29"/>
        </w:numPr>
        <w:autoSpaceDE w:val="0"/>
        <w:autoSpaceDN w:val="0"/>
        <w:adjustRightInd w:val="0"/>
        <w:spacing w:after="0" w:line="240" w:lineRule="auto"/>
        <w:rPr>
          <w:rFonts w:cstheme="minorHAnsi"/>
        </w:rPr>
      </w:pPr>
      <w:r>
        <w:rPr>
          <w:rFonts w:cstheme="minorHAnsi"/>
        </w:rPr>
        <w:tab/>
      </w:r>
      <w:r>
        <w:rPr>
          <w:rFonts w:cstheme="minorHAnsi"/>
        </w:rPr>
        <w:t xml:space="preserve">It has however been recognized by CIPFA that </w:t>
      </w:r>
      <w:r>
        <w:rPr>
          <w:rFonts w:cstheme="minorHAnsi"/>
        </w:rPr>
        <w:t xml:space="preserve">due to </w:t>
      </w:r>
      <w:r w:rsidR="00297512">
        <w:rPr>
          <w:rFonts w:cstheme="minorHAnsi"/>
        </w:rPr>
        <w:t>the</w:t>
      </w:r>
      <w:r>
        <w:rPr>
          <w:rFonts w:cstheme="minorHAnsi"/>
        </w:rPr>
        <w:t xml:space="preserve"> </w:t>
      </w:r>
      <w:r w:rsidR="009D1353">
        <w:rPr>
          <w:rFonts w:cstheme="minorHAnsi"/>
        </w:rPr>
        <w:t>significant impact</w:t>
      </w:r>
      <w:r w:rsidR="00297512">
        <w:rPr>
          <w:rFonts w:cstheme="minorHAnsi"/>
        </w:rPr>
        <w:t xml:space="preserve"> of </w:t>
      </w:r>
      <w:r>
        <w:rPr>
          <w:rFonts w:cstheme="minorHAnsi"/>
        </w:rPr>
        <w:tab/>
      </w:r>
      <w:r w:rsidR="00297512">
        <w:rPr>
          <w:rFonts w:cstheme="minorHAnsi"/>
        </w:rPr>
        <w:t xml:space="preserve">COVID on </w:t>
      </w:r>
      <w:r>
        <w:rPr>
          <w:rFonts w:cstheme="minorHAnsi"/>
        </w:rPr>
        <w:t xml:space="preserve">public services, that for the year 20-21, there is the potential to be a </w:t>
      </w:r>
      <w:r>
        <w:rPr>
          <w:rFonts w:cstheme="minorHAnsi"/>
        </w:rPr>
        <w:tab/>
        <w:t>limitation of scope for the annual opinion.</w:t>
      </w:r>
      <w:r w:rsidR="009D1353">
        <w:rPr>
          <w:rFonts w:cstheme="minorHAnsi"/>
        </w:rPr>
        <w:t xml:space="preserve"> </w:t>
      </w:r>
      <w:r w:rsidRPr="009D1353" w:rsidR="009D1353">
        <w:rPr>
          <w:rFonts w:cstheme="minorHAnsi"/>
        </w:rPr>
        <w:t xml:space="preserve">A limitation of scope arises where the </w:t>
      </w:r>
      <w:r w:rsidR="009D1353">
        <w:rPr>
          <w:rFonts w:cstheme="minorHAnsi"/>
        </w:rPr>
        <w:tab/>
      </w:r>
      <w:r w:rsidRPr="009D1353" w:rsidR="009D1353">
        <w:rPr>
          <w:rFonts w:cstheme="minorHAnsi"/>
        </w:rPr>
        <w:t>H</w:t>
      </w:r>
      <w:r w:rsidR="009D1353">
        <w:rPr>
          <w:rFonts w:cstheme="minorHAnsi"/>
        </w:rPr>
        <w:t xml:space="preserve">ead of </w:t>
      </w:r>
      <w:r w:rsidRPr="009D1353" w:rsidR="009D1353">
        <w:rPr>
          <w:rFonts w:cstheme="minorHAnsi"/>
        </w:rPr>
        <w:t>I</w:t>
      </w:r>
      <w:r w:rsidR="009D1353">
        <w:rPr>
          <w:rFonts w:cstheme="minorHAnsi"/>
        </w:rPr>
        <w:t xml:space="preserve">nternal </w:t>
      </w:r>
      <w:r w:rsidRPr="009D1353" w:rsidR="009D1353">
        <w:rPr>
          <w:rFonts w:cstheme="minorHAnsi"/>
        </w:rPr>
        <w:t>A</w:t>
      </w:r>
      <w:r w:rsidR="009D1353">
        <w:rPr>
          <w:rFonts w:cstheme="minorHAnsi"/>
        </w:rPr>
        <w:t>udit</w:t>
      </w:r>
      <w:r w:rsidRPr="009D1353" w:rsidR="009D1353">
        <w:rPr>
          <w:rFonts w:cstheme="minorHAnsi"/>
        </w:rPr>
        <w:t xml:space="preserve"> is unable to draw on suf</w:t>
      </w:r>
      <w:bookmarkStart w:id="0" w:name="_GoBack"/>
      <w:bookmarkEnd w:id="0"/>
      <w:r w:rsidRPr="009D1353" w:rsidR="009D1353">
        <w:rPr>
          <w:rFonts w:cstheme="minorHAnsi"/>
        </w:rPr>
        <w:t xml:space="preserve">ficient assurance to issue a complete </w:t>
      </w:r>
      <w:r w:rsidR="009D1353">
        <w:rPr>
          <w:rFonts w:cstheme="minorHAnsi"/>
        </w:rPr>
        <w:tab/>
      </w:r>
      <w:r w:rsidRPr="009D1353" w:rsidR="009D1353">
        <w:rPr>
          <w:rFonts w:cstheme="minorHAnsi"/>
        </w:rPr>
        <w:t xml:space="preserve">annual opinion. This should not be confused with an adverse opinion, which arises </w:t>
      </w:r>
      <w:r w:rsidR="009D1353">
        <w:rPr>
          <w:rFonts w:cstheme="minorHAnsi"/>
        </w:rPr>
        <w:tab/>
      </w:r>
      <w:r w:rsidRPr="009D1353" w:rsidR="009D1353">
        <w:rPr>
          <w:rFonts w:cstheme="minorHAnsi"/>
        </w:rPr>
        <w:t xml:space="preserve">when sufficient work has been completed to enable the HIA to conclude that </w:t>
      </w:r>
      <w:r w:rsidR="009D1353">
        <w:rPr>
          <w:rFonts w:cstheme="minorHAnsi"/>
        </w:rPr>
        <w:tab/>
      </w:r>
      <w:r w:rsidRPr="009D1353" w:rsidR="009D1353">
        <w:rPr>
          <w:rFonts w:cstheme="minorHAnsi"/>
        </w:rPr>
        <w:t>arrangements are not adequate and effective.</w:t>
      </w:r>
    </w:p>
    <w:p w:rsidR="003C05B8" w:rsidRPr="003C05B8" w:rsidP="003C05B8">
      <w:pPr>
        <w:autoSpaceDE w:val="0"/>
        <w:autoSpaceDN w:val="0"/>
        <w:adjustRightInd w:val="0"/>
        <w:spacing w:after="0" w:line="240" w:lineRule="auto"/>
        <w:rPr>
          <w:rFonts w:ascii="Calibri" w:hAnsi="Calibri" w:cs="Calibri"/>
        </w:rPr>
      </w:pPr>
    </w:p>
    <w:p w:rsidR="006149F1" w:rsidRPr="009D1353" w:rsidP="007839F8">
      <w:pPr>
        <w:numPr>
          <w:ilvl w:val="0"/>
          <w:numId w:val="29"/>
        </w:numPr>
        <w:spacing w:after="0" w:line="240" w:lineRule="auto"/>
        <w:jc w:val="both"/>
        <w:rPr>
          <w:rFonts w:cstheme="minorHAnsi"/>
          <w:b/>
        </w:rPr>
      </w:pPr>
      <w:r w:rsidRPr="00D4431F">
        <w:rPr>
          <w:rFonts w:cstheme="minorHAnsi"/>
          <w:bCs/>
          <w:i/>
        </w:rPr>
        <w:t xml:space="preserve"> </w:t>
      </w:r>
      <w:r w:rsidR="003C05B8">
        <w:rPr>
          <w:rFonts w:cstheme="minorHAnsi"/>
          <w:bCs/>
          <w:iCs/>
        </w:rPr>
        <w:tab/>
        <w:t xml:space="preserve">CIPFA have issued guidance aimed at authorities who may have a limitation of scope </w:t>
      </w:r>
      <w:r w:rsidR="003C05B8">
        <w:rPr>
          <w:rFonts w:cstheme="minorHAnsi"/>
          <w:bCs/>
          <w:iCs/>
        </w:rPr>
        <w:tab/>
        <w:t xml:space="preserve">and this is attached at </w:t>
      </w:r>
      <w:r w:rsidRPr="003C05B8" w:rsidR="003C05B8">
        <w:rPr>
          <w:rFonts w:cstheme="minorHAnsi"/>
          <w:b/>
          <w:iCs/>
        </w:rPr>
        <w:t xml:space="preserve">Appendix </w:t>
      </w:r>
      <w:r w:rsidR="00653268">
        <w:rPr>
          <w:rFonts w:cstheme="minorHAnsi"/>
          <w:b/>
          <w:iCs/>
        </w:rPr>
        <w:t>C</w:t>
      </w:r>
      <w:r w:rsidRPr="003C05B8" w:rsidR="003C05B8">
        <w:rPr>
          <w:rFonts w:cstheme="minorHAnsi"/>
          <w:b/>
          <w:iCs/>
        </w:rPr>
        <w:t>.</w:t>
      </w:r>
      <w:r w:rsidR="003C05B8">
        <w:rPr>
          <w:rFonts w:cstheme="minorHAnsi"/>
          <w:b/>
          <w:iCs/>
        </w:rPr>
        <w:t xml:space="preserve">  </w:t>
      </w:r>
      <w:r w:rsidR="003C05B8">
        <w:rPr>
          <w:rFonts w:cstheme="minorHAnsi"/>
          <w:bCs/>
          <w:iCs/>
        </w:rPr>
        <w:t xml:space="preserve">The guidance </w:t>
      </w:r>
      <w:r w:rsidR="009D1353">
        <w:rPr>
          <w:rFonts w:cstheme="minorHAnsi"/>
          <w:bCs/>
          <w:iCs/>
        </w:rPr>
        <w:t xml:space="preserve">sets out the requirements for an </w:t>
      </w:r>
      <w:r w:rsidR="009D1353">
        <w:rPr>
          <w:rFonts w:cstheme="minorHAnsi"/>
          <w:bCs/>
          <w:iCs/>
        </w:rPr>
        <w:tab/>
        <w:t xml:space="preserve">annual opinion and actions which can be taken in order to try and address the limitation </w:t>
      </w:r>
      <w:r w:rsidR="009D1353">
        <w:rPr>
          <w:rFonts w:cstheme="minorHAnsi"/>
          <w:bCs/>
          <w:iCs/>
        </w:rPr>
        <w:tab/>
        <w:t>of scope</w:t>
      </w:r>
      <w:r w:rsidR="00693177">
        <w:rPr>
          <w:rFonts w:cstheme="minorHAnsi"/>
          <w:bCs/>
          <w:iCs/>
        </w:rPr>
        <w:t xml:space="preserve">. </w:t>
      </w:r>
      <w:r w:rsidR="009D1353">
        <w:rPr>
          <w:rFonts w:cstheme="minorHAnsi"/>
          <w:bCs/>
          <w:iCs/>
        </w:rPr>
        <w:t xml:space="preserve">  It also gives three potential scenarios in which</w:t>
      </w:r>
      <w:r w:rsidR="00693177">
        <w:rPr>
          <w:rFonts w:cstheme="minorHAnsi"/>
          <w:bCs/>
          <w:iCs/>
        </w:rPr>
        <w:t xml:space="preserve"> </w:t>
      </w:r>
      <w:r w:rsidR="009D1353">
        <w:rPr>
          <w:rFonts w:cstheme="minorHAnsi"/>
          <w:bCs/>
          <w:iCs/>
        </w:rPr>
        <w:t xml:space="preserve">a limitation of scope may </w:t>
      </w:r>
      <w:r w:rsidR="00693177">
        <w:rPr>
          <w:rFonts w:cstheme="minorHAnsi"/>
          <w:bCs/>
          <w:iCs/>
        </w:rPr>
        <w:tab/>
      </w:r>
      <w:r w:rsidR="009D1353">
        <w:rPr>
          <w:rFonts w:cstheme="minorHAnsi"/>
          <w:bCs/>
          <w:iCs/>
        </w:rPr>
        <w:t>apply as:</w:t>
      </w:r>
    </w:p>
    <w:p w:rsidR="009D1353" w:rsidP="009D1353">
      <w:pPr>
        <w:pStyle w:val="ListParagraph"/>
        <w:rPr>
          <w:rFonts w:cstheme="minorHAnsi"/>
          <w:b/>
        </w:rPr>
      </w:pPr>
    </w:p>
    <w:p w:rsidR="009D1353" w:rsidP="009D1353">
      <w:pPr>
        <w:pStyle w:val="Default"/>
        <w:numPr>
          <w:ilvl w:val="0"/>
          <w:numId w:val="27"/>
        </w:numPr>
        <w:jc w:val="both"/>
        <w:rPr>
          <w:sz w:val="22"/>
          <w:szCs w:val="22"/>
        </w:rPr>
      </w:pPr>
      <w:r w:rsidRPr="009D1353">
        <w:rPr>
          <w:sz w:val="22"/>
          <w:szCs w:val="22"/>
        </w:rPr>
        <w:t>The HIA has obtained insufficient assurance across each of the three aspects of the opinion: governance, risk management and internal control, and is therefore unable to issue an opinion</w:t>
      </w:r>
    </w:p>
    <w:p w:rsidR="009D1353" w:rsidP="008A1CB4">
      <w:pPr>
        <w:pStyle w:val="Default"/>
        <w:jc w:val="both"/>
        <w:rPr>
          <w:sz w:val="22"/>
          <w:szCs w:val="22"/>
        </w:rPr>
      </w:pPr>
    </w:p>
    <w:p w:rsidR="009D1353" w:rsidP="009D1353">
      <w:pPr>
        <w:pStyle w:val="Default"/>
        <w:numPr>
          <w:ilvl w:val="0"/>
          <w:numId w:val="27"/>
        </w:numPr>
        <w:jc w:val="both"/>
        <w:rPr>
          <w:sz w:val="22"/>
          <w:szCs w:val="22"/>
        </w:rPr>
      </w:pPr>
      <w:r>
        <w:rPr>
          <w:sz w:val="22"/>
          <w:szCs w:val="22"/>
        </w:rPr>
        <w:t>The HIA has obtained insufficient assurance across one of the three aspects of the opinion:  governance, risk management and internal control</w:t>
      </w:r>
      <w:r w:rsidRPr="009D1353">
        <w:rPr>
          <w:sz w:val="22"/>
          <w:szCs w:val="22"/>
        </w:rPr>
        <w:t xml:space="preserve">. </w:t>
      </w:r>
      <w:r>
        <w:rPr>
          <w:sz w:val="22"/>
          <w:szCs w:val="22"/>
        </w:rPr>
        <w:t xml:space="preserve">  The limitation of scope will be restricted to that aspect only. </w:t>
      </w:r>
    </w:p>
    <w:p w:rsidR="008A1CB4" w:rsidP="008A1CB4">
      <w:pPr>
        <w:pStyle w:val="ListParagraph"/>
      </w:pPr>
    </w:p>
    <w:p w:rsidR="008A1CB4" w:rsidRPr="009D1353" w:rsidP="009D1353">
      <w:pPr>
        <w:pStyle w:val="Default"/>
        <w:numPr>
          <w:ilvl w:val="0"/>
          <w:numId w:val="27"/>
        </w:numPr>
        <w:jc w:val="both"/>
        <w:rPr>
          <w:sz w:val="22"/>
          <w:szCs w:val="22"/>
        </w:rPr>
      </w:pPr>
      <w:r>
        <w:rPr>
          <w:sz w:val="22"/>
          <w:szCs w:val="22"/>
        </w:rPr>
        <w:t>The HIA has obtained insufficient assurance across a significant subset of risk or area of operation that is material</w:t>
      </w:r>
    </w:p>
    <w:p w:rsidR="003C05B8" w:rsidP="003C05B8">
      <w:pPr>
        <w:pStyle w:val="ListParagraph"/>
        <w:rPr>
          <w:rFonts w:cstheme="minorHAnsi"/>
          <w:bCs/>
        </w:rPr>
      </w:pPr>
    </w:p>
    <w:p w:rsidR="003C05B8" w:rsidP="007839F8">
      <w:pPr>
        <w:numPr>
          <w:ilvl w:val="0"/>
          <w:numId w:val="29"/>
        </w:numPr>
        <w:spacing w:after="0" w:line="240" w:lineRule="auto"/>
        <w:jc w:val="both"/>
        <w:rPr>
          <w:rFonts w:cstheme="minorHAnsi"/>
          <w:bCs/>
        </w:rPr>
      </w:pPr>
      <w:r>
        <w:rPr>
          <w:rFonts w:cstheme="minorHAnsi"/>
          <w:bCs/>
        </w:rPr>
        <w:tab/>
      </w:r>
      <w:r w:rsidR="008A1CB4">
        <w:rPr>
          <w:rFonts w:cstheme="minorHAnsi"/>
          <w:bCs/>
        </w:rPr>
        <w:t>As previously reported to members</w:t>
      </w:r>
      <w:r w:rsidR="006A0741">
        <w:rPr>
          <w:rFonts w:cstheme="minorHAnsi"/>
          <w:bCs/>
        </w:rPr>
        <w:t>,</w:t>
      </w:r>
      <w:r>
        <w:rPr>
          <w:rFonts w:cstheme="minorHAnsi"/>
          <w:bCs/>
        </w:rPr>
        <w:t xml:space="preserve"> the Internal Audit Team were re-deployed into the </w:t>
      </w:r>
      <w:r w:rsidR="006A0741">
        <w:rPr>
          <w:rFonts w:cstheme="minorHAnsi"/>
          <w:bCs/>
        </w:rPr>
        <w:tab/>
      </w:r>
      <w:r>
        <w:rPr>
          <w:rFonts w:cstheme="minorHAnsi"/>
          <w:bCs/>
        </w:rPr>
        <w:t xml:space="preserve">Community Hubs </w:t>
      </w:r>
      <w:r w:rsidR="00480D42">
        <w:rPr>
          <w:rFonts w:cstheme="minorHAnsi"/>
          <w:bCs/>
        </w:rPr>
        <w:t xml:space="preserve">for a period of time which </w:t>
      </w:r>
      <w:r w:rsidR="009C6FAE">
        <w:rPr>
          <w:rFonts w:cstheme="minorHAnsi"/>
          <w:bCs/>
        </w:rPr>
        <w:t xml:space="preserve">clearly impacted upon </w:t>
      </w:r>
      <w:r w:rsidR="009C6FAE">
        <w:rPr>
          <w:rFonts w:cstheme="minorHAnsi"/>
          <w:bCs/>
        </w:rPr>
        <w:tab/>
        <w:t xml:space="preserve">the delivery of the </w:t>
      </w:r>
      <w:r w:rsidR="006A0741">
        <w:rPr>
          <w:rFonts w:cstheme="minorHAnsi"/>
          <w:bCs/>
        </w:rPr>
        <w:tab/>
      </w:r>
      <w:r w:rsidR="009C6FAE">
        <w:rPr>
          <w:rFonts w:cstheme="minorHAnsi"/>
          <w:bCs/>
        </w:rPr>
        <w:t>Internal Audit Plan for 20-21.</w:t>
      </w:r>
      <w:r w:rsidR="008A1CB4">
        <w:rPr>
          <w:rFonts w:cstheme="minorHAnsi"/>
          <w:bCs/>
        </w:rPr>
        <w:t xml:space="preserve">  We are however, using the actions </w:t>
      </w:r>
      <w:r w:rsidR="009C6FAE">
        <w:rPr>
          <w:rFonts w:cstheme="minorHAnsi"/>
          <w:bCs/>
        </w:rPr>
        <w:tab/>
      </w:r>
      <w:r w:rsidR="008A1CB4">
        <w:rPr>
          <w:rFonts w:cstheme="minorHAnsi"/>
          <w:bCs/>
        </w:rPr>
        <w:t xml:space="preserve">highlighted in the </w:t>
      </w:r>
      <w:r w:rsidR="006A0741">
        <w:rPr>
          <w:rFonts w:cstheme="minorHAnsi"/>
          <w:bCs/>
        </w:rPr>
        <w:tab/>
      </w:r>
      <w:r w:rsidR="008A1CB4">
        <w:rPr>
          <w:rFonts w:cstheme="minorHAnsi"/>
          <w:bCs/>
        </w:rPr>
        <w:t xml:space="preserve">guidance and using all </w:t>
      </w:r>
      <w:r w:rsidR="007411A1">
        <w:rPr>
          <w:rFonts w:cstheme="minorHAnsi"/>
          <w:bCs/>
        </w:rPr>
        <w:t xml:space="preserve">other available </w:t>
      </w:r>
      <w:r w:rsidR="008A1CB4">
        <w:rPr>
          <w:rFonts w:cstheme="minorHAnsi"/>
          <w:bCs/>
        </w:rPr>
        <w:t>sources of assurance</w:t>
      </w:r>
      <w:r w:rsidR="007411A1">
        <w:rPr>
          <w:rFonts w:cstheme="minorHAnsi"/>
          <w:bCs/>
        </w:rPr>
        <w:t xml:space="preserve"> </w:t>
      </w:r>
      <w:r w:rsidR="008A1CB4">
        <w:rPr>
          <w:rFonts w:cstheme="minorHAnsi"/>
          <w:bCs/>
        </w:rPr>
        <w:t xml:space="preserve">in order to </w:t>
      </w:r>
      <w:r w:rsidR="007411A1">
        <w:rPr>
          <w:rFonts w:cstheme="minorHAnsi"/>
          <w:bCs/>
        </w:rPr>
        <w:t xml:space="preserve">reduce the </w:t>
      </w:r>
      <w:r w:rsidR="006A0741">
        <w:rPr>
          <w:rFonts w:cstheme="minorHAnsi"/>
          <w:bCs/>
        </w:rPr>
        <w:tab/>
      </w:r>
      <w:r w:rsidR="007411A1">
        <w:rPr>
          <w:rFonts w:cstheme="minorHAnsi"/>
          <w:bCs/>
        </w:rPr>
        <w:t xml:space="preserve">potential for a limitation of scope across the 3 aspects of the opinion. </w:t>
      </w:r>
    </w:p>
    <w:p w:rsidR="008A1CB4" w:rsidRPr="00CA04F3" w:rsidP="007411A1">
      <w:pPr>
        <w:spacing w:after="0" w:line="240" w:lineRule="auto"/>
        <w:ind w:left="502"/>
        <w:jc w:val="both"/>
        <w:rPr>
          <w:rFonts w:cstheme="minorHAnsi"/>
          <w:bCs/>
        </w:rPr>
      </w:pPr>
    </w:p>
    <w:p w:rsidR="00D4431F" w:rsidRPr="00CA04F3" w:rsidP="00CA04F3">
      <w:pPr>
        <w:pStyle w:val="Heading2"/>
        <w:rPr>
          <w:rFonts w:asciiTheme="majorHAnsi" w:hAnsiTheme="majorHAnsi" w:cstheme="majorHAnsi"/>
          <w:sz w:val="22"/>
        </w:rPr>
      </w:pPr>
      <w:r w:rsidRPr="00CA04F3">
        <w:rPr>
          <w:rFonts w:asciiTheme="majorHAnsi" w:hAnsiTheme="majorHAnsi" w:cstheme="majorHAnsi"/>
          <w:sz w:val="22"/>
        </w:rPr>
        <w:t>Appendices</w:t>
      </w:r>
    </w:p>
    <w:p w:rsidR="006149F1" w:rsidRPr="00D4431F" w:rsidP="006149F1">
      <w:pPr>
        <w:spacing w:after="0" w:line="240" w:lineRule="auto"/>
        <w:jc w:val="both"/>
        <w:rPr>
          <w:rFonts w:cstheme="minorHAnsi"/>
          <w:bCs/>
          <w:i/>
        </w:rPr>
      </w:pPr>
    </w:p>
    <w:p w:rsidR="00D4431F" w:rsidRPr="00751784" w:rsidP="00751784">
      <w:pPr>
        <w:spacing w:after="0" w:line="240" w:lineRule="auto"/>
        <w:jc w:val="both"/>
        <w:rPr>
          <w:rFonts w:cstheme="minorHAnsi"/>
          <w:bCs/>
          <w:iCs/>
        </w:rPr>
      </w:pPr>
      <w:r w:rsidRPr="00751784">
        <w:rPr>
          <w:rFonts w:cstheme="minorHAnsi"/>
          <w:b/>
          <w:iCs/>
        </w:rPr>
        <w:t>Appendix A</w:t>
      </w:r>
      <w:r w:rsidR="00751784">
        <w:rPr>
          <w:rFonts w:cstheme="minorHAnsi"/>
          <w:b/>
          <w:iCs/>
        </w:rPr>
        <w:t xml:space="preserve"> </w:t>
      </w:r>
      <w:r w:rsidRPr="00751784" w:rsidR="00751784">
        <w:rPr>
          <w:rFonts w:cstheme="minorHAnsi"/>
          <w:bCs/>
          <w:iCs/>
        </w:rPr>
        <w:t>Internal Audit Plan 2021-2022</w:t>
      </w:r>
    </w:p>
    <w:p w:rsidR="00751784" w:rsidRPr="00751784" w:rsidP="00751784">
      <w:pPr>
        <w:spacing w:after="0" w:line="240" w:lineRule="auto"/>
        <w:jc w:val="both"/>
        <w:rPr>
          <w:rFonts w:cstheme="minorHAnsi"/>
          <w:bCs/>
          <w:iCs/>
        </w:rPr>
      </w:pPr>
      <w:r>
        <w:rPr>
          <w:rFonts w:cstheme="minorHAnsi"/>
          <w:b/>
          <w:iCs/>
        </w:rPr>
        <w:t xml:space="preserve">Appendix B </w:t>
      </w:r>
      <w:r w:rsidRPr="00751784">
        <w:rPr>
          <w:rFonts w:cstheme="minorHAnsi"/>
          <w:bCs/>
          <w:iCs/>
        </w:rPr>
        <w:t>Internal Audit Charter</w:t>
      </w:r>
    </w:p>
    <w:p w:rsidR="00751784" w:rsidRPr="00751784" w:rsidP="00751784">
      <w:pPr>
        <w:pStyle w:val="Default"/>
        <w:rPr>
          <w:rFonts w:asciiTheme="minorHAnsi" w:hAnsiTheme="minorHAnsi" w:cstheme="minorHAnsi"/>
          <w:sz w:val="22"/>
          <w:szCs w:val="22"/>
        </w:rPr>
      </w:pPr>
      <w:r>
        <w:rPr>
          <w:rFonts w:cstheme="minorHAnsi"/>
          <w:b/>
          <w:iCs/>
        </w:rPr>
        <w:t xml:space="preserve">Appendix </w:t>
      </w:r>
      <w:r w:rsidR="00E36788">
        <w:rPr>
          <w:rFonts w:cstheme="minorHAnsi"/>
          <w:b/>
          <w:iCs/>
        </w:rPr>
        <w:t xml:space="preserve">C </w:t>
      </w:r>
      <w:r w:rsidRPr="00E36788" w:rsidR="00E36788">
        <w:rPr>
          <w:rFonts w:asciiTheme="minorHAnsi" w:hAnsiTheme="minorHAnsi" w:cstheme="minorHAnsi"/>
        </w:rPr>
        <w:t>CIPFA</w:t>
      </w:r>
      <w:r w:rsidRPr="00751784">
        <w:rPr>
          <w:rFonts w:asciiTheme="minorHAnsi" w:hAnsiTheme="minorHAnsi" w:cstheme="minorHAnsi"/>
          <w:sz w:val="22"/>
          <w:szCs w:val="22"/>
        </w:rPr>
        <w:t xml:space="preserve"> Guidance to Internal Auditors and the Leadership Team and Audit Committee of Local Government Bodies</w:t>
      </w:r>
    </w:p>
    <w:p w:rsidR="00D4431F" w:rsidRPr="00D4431F" w:rsidP="00D4431F">
      <w:pPr>
        <w:spacing w:line="240" w:lineRule="auto"/>
        <w:jc w:val="both"/>
        <w:rPr>
          <w:rFonts w:cstheme="minorHAnsi"/>
          <w:bCs/>
        </w:rPr>
      </w:pPr>
    </w:p>
    <w:p w:rsidR="007839F8" w:rsidP="006149F1">
      <w:pPr>
        <w:spacing w:after="0" w:line="240" w:lineRule="auto"/>
        <w:jc w:val="both"/>
        <w:rPr>
          <w:rFonts w:cstheme="minorHAnsi"/>
          <w:bCs/>
        </w:rPr>
      </w:pPr>
    </w:p>
    <w:p w:rsidR="00751784" w:rsidP="006149F1">
      <w:pPr>
        <w:spacing w:after="0" w:line="240" w:lineRule="auto"/>
        <w:jc w:val="both"/>
        <w:rPr>
          <w:rFonts w:cstheme="minorHAnsi"/>
          <w:bCs/>
        </w:rPr>
      </w:pPr>
      <w:r>
        <w:rPr>
          <w:rFonts w:cstheme="minorHAnsi"/>
          <w:bCs/>
        </w:rPr>
        <w:t>Dawn Highton</w:t>
      </w:r>
    </w:p>
    <w:p w:rsidR="00D4431F" w:rsidRPr="00D4431F" w:rsidP="006149F1">
      <w:pPr>
        <w:spacing w:after="0" w:line="240" w:lineRule="auto"/>
        <w:jc w:val="both"/>
        <w:rPr>
          <w:rFonts w:cstheme="minorHAnsi"/>
          <w:bCs/>
        </w:rPr>
      </w:pPr>
      <w:r>
        <w:rPr>
          <w:rFonts w:cstheme="minorHAnsi"/>
          <w:bCs/>
        </w:rPr>
        <w:t>Service Lead – Audit and Risk</w:t>
      </w:r>
      <w:r w:rsidRPr="00D4431F" w:rsidR="00E33D30">
        <w:rPr>
          <w:rFonts w:cstheme="minorHAnsi"/>
          <w:bCs/>
        </w:rPr>
        <w:t xml:space="preserve"> </w:t>
      </w: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3534"/>
        <w:gridCol w:w="1467"/>
        <w:gridCol w:w="1148"/>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Dawn Highton</w:t>
            </w:r>
            <w:r>
              <w:rPr>
                <w:rFonts w:cstheme="minorHAnsi"/>
                <w:bCs/>
              </w:rPr>
              <w:fldChar w:fldCharType="end"/>
            </w:r>
            <w:r>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fldChar w:fldCharType="end"/>
            </w:r>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dawn.highton@southribble.gov.uk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sidR="00751784">
              <w:rPr>
                <w:rFonts w:cstheme="minorHAnsi"/>
                <w:bCs/>
              </w:rPr>
              <w:t>5625</w:t>
            </w:r>
          </w:p>
        </w:tc>
        <w:tc>
          <w:tcPr>
            <w:tcW w:w="1269" w:type="dxa"/>
            <w:shd w:val="clear" w:color="auto" w:fill="auto"/>
          </w:tcPr>
          <w:p w:rsidR="00D4431F" w:rsidRPr="00D4431F" w:rsidP="00D4431F">
            <w:pPr>
              <w:spacing w:line="240" w:lineRule="auto"/>
              <w:jc w:val="both"/>
              <w:rPr>
                <w:rFonts w:cstheme="minorHAnsi"/>
                <w:bCs/>
              </w:rPr>
            </w:pPr>
            <w:r>
              <w:rPr>
                <w:rFonts w:cstheme="minorHAnsi"/>
                <w:bCs/>
              </w:rPr>
              <w:t>10/3/21</w:t>
            </w:r>
          </w:p>
        </w:tc>
      </w:tr>
    </w:tbl>
    <w:p w:rsidR="0025620C" w:rsidRPr="005C459D">
      <w:pPr>
        <w:rPr>
          <w:rFonts w:cstheme="minorHAnsi"/>
          <w:bCs/>
          <w:color w:val="000000" w:themeColor="text1"/>
          <w:lang w:val="en-US"/>
        </w:rPr>
      </w:pPr>
    </w:p>
    <w:sectPr w:rsidSect="00D4431F">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AB0">
    <w:pPr>
      <w:pStyle w:val="Footer"/>
    </w:pPr>
    <w:r>
      <w:rPr>
        <w:noProof/>
        <w:lang w:eastAsia="en-GB"/>
      </w:rPr>
      <w:drawing>
        <wp:anchor distT="0" distB="0" distL="114300" distR="114300" simplePos="0" relativeHeight="251658240" behindDoc="1" locked="1" layoutInCell="1" allowOverlap="0">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284791" name="SRBC logo CMYK 2020.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2702A"/>
    <w:multiLevelType w:val="hybridMultilevel"/>
    <w:tmpl w:val="01B85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FB2C78"/>
    <w:multiLevelType w:val="hybridMultilevel"/>
    <w:tmpl w:val="4B601D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BF030C"/>
    <w:multiLevelType w:val="hybridMultilevel"/>
    <w:tmpl w:val="4080C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924161"/>
    <w:multiLevelType w:val="hybridMultilevel"/>
    <w:tmpl w:val="C0D8963A"/>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A07B7C"/>
    <w:multiLevelType w:val="hybridMultilevel"/>
    <w:tmpl w:val="682033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0609DF"/>
    <w:multiLevelType w:val="hybridMultilevel"/>
    <w:tmpl w:val="E676D702"/>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24465B"/>
    <w:multiLevelType w:val="hybridMultilevel"/>
    <w:tmpl w:val="4FF02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8">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B22583B"/>
    <w:multiLevelType w:val="hybridMultilevel"/>
    <w:tmpl w:val="376A3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3B0ACC"/>
    <w:multiLevelType w:val="hybridMultilevel"/>
    <w:tmpl w:val="E8F8E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C264BE2"/>
    <w:multiLevelType w:val="hybridMultilevel"/>
    <w:tmpl w:val="E0466D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E37434"/>
    <w:multiLevelType w:val="hybridMultilevel"/>
    <w:tmpl w:val="9A44A9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08C008E"/>
    <w:multiLevelType w:val="hybridMultilevel"/>
    <w:tmpl w:val="EADA2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5104465"/>
    <w:multiLevelType w:val="hybridMultilevel"/>
    <w:tmpl w:val="473EA3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AA56EE9"/>
    <w:multiLevelType w:val="hybridMultilevel"/>
    <w:tmpl w:val="2A0C883E"/>
    <w:lvl w:ilvl="0">
      <w:start w:val="1"/>
      <w:numFmt w:val="decimal"/>
      <w:lvlText w:val="%1."/>
      <w:lvlJc w:val="left"/>
      <w:pPr>
        <w:ind w:left="360" w:hanging="360"/>
      </w:pPr>
      <w:rPr>
        <w:rFonts w:ascii="Arial" w:hAnsi="Arial" w:cs="Arial"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ED47220"/>
    <w:multiLevelType w:val="hybridMultilevel"/>
    <w:tmpl w:val="295ADA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623467"/>
    <w:multiLevelType w:val="hybridMultilevel"/>
    <w:tmpl w:val="B68A62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8730561"/>
    <w:multiLevelType w:val="hybridMultilevel"/>
    <w:tmpl w:val="0FDE3A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BA1010"/>
    <w:multiLevelType w:val="hybridMultilevel"/>
    <w:tmpl w:val="C0D08FD0"/>
    <w:lvl w:ilvl="0">
      <w:start w:val="11"/>
      <w:numFmt w:val="decimal"/>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EBF00E5"/>
    <w:multiLevelType w:val="hybridMultilevel"/>
    <w:tmpl w:val="EEB090E2"/>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8510558"/>
    <w:multiLevelType w:val="hybridMultilevel"/>
    <w:tmpl w:val="784C78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8C91948"/>
    <w:multiLevelType w:val="hybridMultilevel"/>
    <w:tmpl w:val="32DEECC4"/>
    <w:lvl w:ilvl="0">
      <w:start w:val="12"/>
      <w:numFmt w:val="decimal"/>
      <w:lvlText w:val="%1."/>
      <w:lvlJc w:val="left"/>
      <w:pPr>
        <w:ind w:left="502" w:hanging="360"/>
      </w:pPr>
      <w:rPr>
        <w:rFonts w:asciiTheme="minorHAnsi" w:hAnsiTheme="minorHAnsi" w:cstheme="minorHAnsi" w:hint="default"/>
        <w:b/>
        <w:bCs/>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FCA43E8"/>
    <w:multiLevelType w:val="hybridMultilevel"/>
    <w:tmpl w:val="9B188588"/>
    <w:lvl w:ilvl="0">
      <w:start w:val="1"/>
      <w:numFmt w:val="decimal"/>
      <w:lvlText w:val="%1."/>
      <w:lvlJc w:val="left"/>
      <w:pPr>
        <w:ind w:left="502" w:hanging="360"/>
      </w:pPr>
      <w:rPr>
        <w:rFonts w:asciiTheme="minorHAnsi" w:hAnsiTheme="minorHAnsi" w:cstheme="minorHAnsi" w:hint="default"/>
        <w:b/>
        <w:bCs/>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24"/>
  </w:num>
  <w:num w:numId="3">
    <w:abstractNumId w:val="20"/>
  </w:num>
  <w:num w:numId="4">
    <w:abstractNumId w:val="23"/>
  </w:num>
  <w:num w:numId="5">
    <w:abstractNumId w:val="18"/>
  </w:num>
  <w:num w:numId="6">
    <w:abstractNumId w:val="7"/>
  </w:num>
  <w:num w:numId="7">
    <w:abstractNumId w:val="8"/>
  </w:num>
  <w:num w:numId="8">
    <w:abstractNumId w:val="22"/>
  </w:num>
  <w:num w:numId="9">
    <w:abstractNumId w:val="19"/>
  </w:num>
  <w:num w:numId="10">
    <w:abstractNumId w:val="11"/>
  </w:num>
  <w:num w:numId="11">
    <w:abstractNumId w:val="28"/>
  </w:num>
  <w:num w:numId="12">
    <w:abstractNumId w:val="12"/>
  </w:num>
  <w:num w:numId="13">
    <w:abstractNumId w:val="14"/>
  </w:num>
  <w:num w:numId="14">
    <w:abstractNumId w:val="17"/>
  </w:num>
  <w:num w:numId="15">
    <w:abstractNumId w:val="6"/>
  </w:num>
  <w:num w:numId="16">
    <w:abstractNumId w:val="9"/>
  </w:num>
  <w:num w:numId="17">
    <w:abstractNumId w:val="13"/>
  </w:num>
  <w:num w:numId="18">
    <w:abstractNumId w:val="1"/>
  </w:num>
  <w:num w:numId="19">
    <w:abstractNumId w:val="2"/>
  </w:num>
  <w:num w:numId="20">
    <w:abstractNumId w:val="3"/>
  </w:num>
  <w:num w:numId="21">
    <w:abstractNumId w:val="16"/>
  </w:num>
  <w:num w:numId="22">
    <w:abstractNumId w:val="10"/>
  </w:num>
  <w:num w:numId="23">
    <w:abstractNumId w:val="0"/>
  </w:num>
  <w:num w:numId="24">
    <w:abstractNumId w:val="5"/>
  </w:num>
  <w:num w:numId="25">
    <w:abstractNumId w:val="15"/>
  </w:num>
  <w:num w:numId="26">
    <w:abstractNumId w:val="25"/>
  </w:num>
  <w:num w:numId="27">
    <w:abstractNumId w:val="4"/>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BodyText2">
    <w:name w:val="Body Text 2"/>
    <w:basedOn w:val="Normal"/>
    <w:link w:val="BodyText2Char"/>
    <w:uiPriority w:val="99"/>
    <w:semiHidden/>
    <w:unhideWhenUsed/>
    <w:rsid w:val="000A081E"/>
    <w:pPr>
      <w:spacing w:after="120" w:line="480" w:lineRule="auto"/>
    </w:pPr>
  </w:style>
  <w:style w:type="character" w:customStyle="1" w:styleId="BodyText2Char">
    <w:name w:val="Body Text 2 Char"/>
    <w:basedOn w:val="DefaultParagraphFont"/>
    <w:link w:val="BodyText2"/>
    <w:uiPriority w:val="99"/>
    <w:semiHidden/>
    <w:rsid w:val="000A081E"/>
  </w:style>
  <w:style w:type="paragraph" w:customStyle="1" w:styleId="Default">
    <w:name w:val="Default"/>
    <w:rsid w:val="009D13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F4EB6A-3391-4385-B3BE-3854D0E7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12</cp:revision>
  <cp:lastPrinted>2014-03-21T13:56:00Z</cp:lastPrinted>
  <dcterms:created xsi:type="dcterms:W3CDTF">2021-03-09T19:19:00Z</dcterms:created>
  <dcterms:modified xsi:type="dcterms:W3CDTF">2021-03-11T09:46:00Z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Plan 2021 - 2022</vt:lpwstr>
  </property>
  <property fmtid="{D5CDD505-2E9C-101B-9397-08002B2CF9AE}" pid="4" name="LeadDirector">
    <vt:lpwstr>Director of Governance and Monitoring Officer</vt:lpwstr>
  </property>
  <property fmtid="{D5CDD505-2E9C-101B-9397-08002B2CF9AE}" pid="5" name="LeadOfficer">
    <vt:lpwstr>Dawn Highton</vt:lpwstr>
  </property>
  <property fmtid="{D5CDD505-2E9C-101B-9397-08002B2CF9AE}" pid="6" name="LeadOfficerEmail">
    <vt:lpwstr>dawn.highton@southribble.gov.uk</vt:lpwstr>
  </property>
  <property fmtid="{D5CDD505-2E9C-101B-9397-08002B2CF9AE}" pid="7" name="LeadOfficerPost">
    <vt:lpwstr/>
  </property>
  <property fmtid="{D5CDD505-2E9C-101B-9397-08002B2CF9AE}" pid="8" name="MeetingDate">
    <vt:lpwstr>Tuesday, 23 March 2021</vt:lpwstr>
  </property>
</Properties>
</file>